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6095C02E"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F425E7">
        <w:rPr>
          <w:rFonts w:ascii="Calibri" w:hAnsi="Calibri" w:cs="Calibri"/>
          <w:sz w:val="22"/>
          <w:szCs w:val="22"/>
          <w:lang w:val="en-US" w:eastAsia="en-GB"/>
        </w:rPr>
        <w:t>1</w:t>
      </w:r>
      <w:r w:rsidR="00A6056D">
        <w:rPr>
          <w:rFonts w:ascii="Calibri" w:hAnsi="Calibri" w:cs="Calibri"/>
          <w:sz w:val="22"/>
          <w:szCs w:val="22"/>
          <w:lang w:val="en-US" w:eastAsia="en-GB"/>
        </w:rPr>
        <w:t>1</w:t>
      </w:r>
      <w:r w:rsidR="007A6494">
        <w:rPr>
          <w:rFonts w:ascii="Calibri" w:hAnsi="Calibri" w:cs="Calibri"/>
          <w:sz w:val="22"/>
          <w:szCs w:val="22"/>
          <w:lang w:val="en-US" w:eastAsia="en-GB"/>
        </w:rPr>
        <w:t xml:space="preserve"> </w:t>
      </w:r>
      <w:r w:rsidR="00A6056D">
        <w:rPr>
          <w:rFonts w:ascii="Calibri" w:hAnsi="Calibri" w:cs="Calibri"/>
          <w:sz w:val="22"/>
          <w:szCs w:val="22"/>
          <w:lang w:val="en-US" w:eastAsia="en-GB"/>
        </w:rPr>
        <w:t>March</w:t>
      </w:r>
      <w:r w:rsidR="00F86FF4">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F425E7">
        <w:rPr>
          <w:rFonts w:ascii="Calibri" w:hAnsi="Calibri" w:cs="Calibri"/>
          <w:sz w:val="22"/>
          <w:szCs w:val="22"/>
          <w:lang w:val="en-US" w:eastAsia="en-GB"/>
        </w:rPr>
        <w:t>13:</w:t>
      </w:r>
      <w:r w:rsidR="006E70CA">
        <w:rPr>
          <w:rFonts w:ascii="Calibri" w:hAnsi="Calibri" w:cs="Calibri"/>
          <w:sz w:val="22"/>
          <w:szCs w:val="22"/>
          <w:lang w:val="en-US" w:eastAsia="en-GB"/>
        </w:rPr>
        <w:t>17</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w:t>
      </w:r>
      <w:proofErr w:type="spellStart"/>
      <w:r w:rsidRPr="00284242">
        <w:rPr>
          <w:rFonts w:ascii="Calibri" w:hAnsi="Calibri" w:cs="Calibri"/>
          <w:sz w:val="22"/>
          <w:szCs w:val="22"/>
          <w:lang w:val="en-US" w:eastAsia="en-GB"/>
        </w:rPr>
        <w:t>McSence</w:t>
      </w:r>
      <w:proofErr w:type="spellEnd"/>
      <w:r w:rsidRPr="00284242">
        <w:rPr>
          <w:rFonts w:ascii="Calibri" w:hAnsi="Calibri" w:cs="Calibri"/>
          <w:sz w:val="22"/>
          <w:szCs w:val="22"/>
          <w:lang w:val="en-US" w:eastAsia="en-GB"/>
        </w:rPr>
        <w:t xml:space="preserve"> Daily Toolbox Talk </w:t>
      </w:r>
      <w:r w:rsidR="00F425E7">
        <w:rPr>
          <w:rFonts w:ascii="Calibri" w:hAnsi="Calibri" w:cs="Calibri"/>
          <w:sz w:val="22"/>
          <w:szCs w:val="22"/>
          <w:lang w:val="en-US" w:eastAsia="en-GB"/>
        </w:rPr>
        <w:t>1</w:t>
      </w:r>
      <w:r w:rsidR="00A6056D">
        <w:rPr>
          <w:rFonts w:ascii="Calibri" w:hAnsi="Calibri" w:cs="Calibri"/>
          <w:sz w:val="22"/>
          <w:szCs w:val="22"/>
          <w:lang w:val="en-US" w:eastAsia="en-GB"/>
        </w:rPr>
        <w:t>1</w:t>
      </w:r>
      <w:r w:rsidRPr="00284242">
        <w:rPr>
          <w:rFonts w:ascii="Calibri" w:hAnsi="Calibri" w:cs="Calibri"/>
          <w:sz w:val="22"/>
          <w:szCs w:val="22"/>
          <w:lang w:val="en-US" w:eastAsia="en-GB"/>
        </w:rPr>
        <w:t>/</w:t>
      </w:r>
      <w:r w:rsidR="00253A83">
        <w:rPr>
          <w:rFonts w:ascii="Calibri" w:hAnsi="Calibri" w:cs="Calibri"/>
          <w:sz w:val="22"/>
          <w:szCs w:val="22"/>
          <w:lang w:val="en-US" w:eastAsia="en-GB"/>
        </w:rPr>
        <w:t>0</w:t>
      </w:r>
      <w:r w:rsidR="00A6056D">
        <w:rPr>
          <w:rFonts w:ascii="Calibri" w:hAnsi="Calibri" w:cs="Calibri"/>
          <w:sz w:val="22"/>
          <w:szCs w:val="22"/>
          <w:lang w:val="en-US" w:eastAsia="en-GB"/>
        </w:rPr>
        <w:t>3</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AF4D21">
        <w:rPr>
          <w:rFonts w:ascii="Calibri" w:hAnsi="Calibri" w:cs="Calibri"/>
          <w:sz w:val="22"/>
          <w:szCs w:val="22"/>
          <w:lang w:val="en-US" w:eastAsia="en-GB"/>
        </w:rPr>
        <w:t>Ha</w:t>
      </w:r>
      <w:r w:rsidR="00A6056D">
        <w:rPr>
          <w:rFonts w:ascii="Calibri" w:hAnsi="Calibri" w:cs="Calibri"/>
          <w:sz w:val="22"/>
          <w:szCs w:val="22"/>
          <w:lang w:val="en-US" w:eastAsia="en-GB"/>
        </w:rPr>
        <w:t>zard Assessment</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6F49C3" w14:textId="77777777" w:rsidR="00A6056D" w:rsidRPr="00A6056D" w:rsidRDefault="00A6056D" w:rsidP="00A6056D">
            <w:pPr>
              <w:rPr>
                <w:rFonts w:asciiTheme="minorHAnsi" w:hAnsiTheme="minorHAnsi" w:cstheme="minorHAnsi"/>
                <w:color w:val="002060"/>
                <w:sz w:val="22"/>
                <w:szCs w:val="22"/>
              </w:rPr>
            </w:pPr>
            <w:r w:rsidRPr="00A6056D">
              <w:rPr>
                <w:rFonts w:asciiTheme="minorHAnsi" w:hAnsiTheme="minorHAnsi" w:cstheme="minorHAnsi"/>
                <w:color w:val="002060"/>
              </w:rPr>
              <w:t>Hey team, let’s chat about something that’s super important to keeping our workplace safe: Hazard Assessment. Whether you’re swinging a hammer or sitting at a desk, you’ll come across a variety of hazards in your workday. Understanding how to identify and assess these risks is the first step towards making our environment safer for everyone.</w:t>
            </w:r>
          </w:p>
          <w:p w14:paraId="166D75E4" w14:textId="77777777" w:rsidR="00A6056D" w:rsidRPr="00A6056D" w:rsidRDefault="00A6056D" w:rsidP="00A6056D">
            <w:pPr>
              <w:rPr>
                <w:rFonts w:asciiTheme="minorHAnsi" w:hAnsiTheme="minorHAnsi" w:cstheme="minorHAnsi"/>
                <w:color w:val="002060"/>
              </w:rPr>
            </w:pPr>
          </w:p>
          <w:p w14:paraId="00505A37" w14:textId="77777777" w:rsidR="00A6056D" w:rsidRPr="00A6056D" w:rsidRDefault="00A6056D" w:rsidP="00A6056D">
            <w:pPr>
              <w:rPr>
                <w:rFonts w:asciiTheme="minorHAnsi" w:hAnsiTheme="minorHAnsi" w:cstheme="minorHAnsi"/>
                <w:b/>
                <w:bCs/>
                <w:color w:val="C00000"/>
              </w:rPr>
            </w:pPr>
            <w:r w:rsidRPr="00A6056D">
              <w:rPr>
                <w:rFonts w:asciiTheme="minorHAnsi" w:hAnsiTheme="minorHAnsi" w:cstheme="minorHAnsi"/>
                <w:b/>
                <w:bCs/>
                <w:color w:val="C00000"/>
              </w:rPr>
              <w:t>What is Hazard Assessment?</w:t>
            </w:r>
          </w:p>
          <w:p w14:paraId="25A18DCE" w14:textId="77777777" w:rsidR="00A6056D" w:rsidRPr="00A6056D" w:rsidRDefault="00A6056D" w:rsidP="00A6056D">
            <w:pPr>
              <w:rPr>
                <w:rFonts w:asciiTheme="minorHAnsi" w:hAnsiTheme="minorHAnsi" w:cstheme="minorHAnsi"/>
                <w:color w:val="002060"/>
              </w:rPr>
            </w:pPr>
            <w:r w:rsidRPr="00A6056D">
              <w:rPr>
                <w:rFonts w:asciiTheme="minorHAnsi" w:hAnsiTheme="minorHAnsi" w:cstheme="minorHAnsi"/>
                <w:color w:val="002060"/>
              </w:rPr>
              <w:t>Hazard assessment involves recognizing and evaluating the potential risks that could cause harm in the workplace. This isn’t just a box to check; it’s an ongoing process that helps ensure everyone goes home in one piece. Here’s why it matters:</w:t>
            </w:r>
          </w:p>
          <w:p w14:paraId="41C9D68D" w14:textId="77777777" w:rsidR="00A6056D" w:rsidRPr="00A6056D" w:rsidRDefault="00A6056D" w:rsidP="00A6056D">
            <w:pPr>
              <w:numPr>
                <w:ilvl w:val="0"/>
                <w:numId w:val="44"/>
              </w:numPr>
              <w:spacing w:line="252" w:lineRule="auto"/>
              <w:rPr>
                <w:rFonts w:asciiTheme="minorHAnsi" w:hAnsiTheme="minorHAnsi" w:cstheme="minorHAnsi"/>
                <w:color w:val="002060"/>
              </w:rPr>
            </w:pPr>
            <w:r w:rsidRPr="00A6056D">
              <w:rPr>
                <w:rFonts w:asciiTheme="minorHAnsi" w:hAnsiTheme="minorHAnsi" w:cstheme="minorHAnsi"/>
                <w:b/>
                <w:bCs/>
                <w:color w:val="002060"/>
              </w:rPr>
              <w:t>Injury Prevention:</w:t>
            </w:r>
            <w:r w:rsidRPr="00A6056D">
              <w:rPr>
                <w:rFonts w:asciiTheme="minorHAnsi" w:hAnsiTheme="minorHAnsi" w:cstheme="minorHAnsi"/>
                <w:color w:val="002060"/>
              </w:rPr>
              <w:t> By spotting hazards early, we can implement measures to prevent accidents.</w:t>
            </w:r>
          </w:p>
          <w:p w14:paraId="7738C8B8" w14:textId="77777777" w:rsidR="00A6056D" w:rsidRPr="00A6056D" w:rsidRDefault="00A6056D" w:rsidP="00A6056D">
            <w:pPr>
              <w:numPr>
                <w:ilvl w:val="0"/>
                <w:numId w:val="44"/>
              </w:numPr>
              <w:spacing w:line="252" w:lineRule="auto"/>
              <w:rPr>
                <w:rFonts w:asciiTheme="minorHAnsi" w:hAnsiTheme="minorHAnsi" w:cstheme="minorHAnsi"/>
                <w:color w:val="002060"/>
              </w:rPr>
            </w:pPr>
            <w:r w:rsidRPr="00A6056D">
              <w:rPr>
                <w:rFonts w:asciiTheme="minorHAnsi" w:hAnsiTheme="minorHAnsi" w:cstheme="minorHAnsi"/>
                <w:b/>
                <w:bCs/>
                <w:color w:val="002060"/>
              </w:rPr>
              <w:t>Compliance:</w:t>
            </w:r>
            <w:r w:rsidRPr="00A6056D">
              <w:rPr>
                <w:rFonts w:asciiTheme="minorHAnsi" w:hAnsiTheme="minorHAnsi" w:cstheme="minorHAnsi"/>
                <w:color w:val="002060"/>
              </w:rPr>
              <w:t> Keeping in line with OSHA standards helps us avoid fines and legal troubles.</w:t>
            </w:r>
          </w:p>
          <w:p w14:paraId="58793174" w14:textId="77777777" w:rsidR="00A6056D" w:rsidRPr="00A6056D" w:rsidRDefault="00A6056D" w:rsidP="00A6056D">
            <w:pPr>
              <w:numPr>
                <w:ilvl w:val="0"/>
                <w:numId w:val="44"/>
              </w:numPr>
              <w:spacing w:line="252" w:lineRule="auto"/>
              <w:rPr>
                <w:rFonts w:asciiTheme="minorHAnsi" w:hAnsiTheme="minorHAnsi" w:cstheme="minorHAnsi"/>
                <w:color w:val="002060"/>
              </w:rPr>
            </w:pPr>
            <w:r w:rsidRPr="00A6056D">
              <w:rPr>
                <w:rFonts w:asciiTheme="minorHAnsi" w:hAnsiTheme="minorHAnsi" w:cstheme="minorHAnsi"/>
                <w:b/>
                <w:bCs/>
                <w:color w:val="002060"/>
              </w:rPr>
              <w:t>Increased Productivity:</w:t>
            </w:r>
            <w:r w:rsidRPr="00A6056D">
              <w:rPr>
                <w:rFonts w:asciiTheme="minorHAnsi" w:hAnsiTheme="minorHAnsi" w:cstheme="minorHAnsi"/>
                <w:color w:val="002060"/>
              </w:rPr>
              <w:t> A safer workplace means fewer injuries and, consequently, less downtime.</w:t>
            </w:r>
          </w:p>
          <w:p w14:paraId="3C6B1DA9" w14:textId="77777777" w:rsidR="00A6056D" w:rsidRPr="00A6056D" w:rsidRDefault="00A6056D" w:rsidP="00A6056D">
            <w:pPr>
              <w:rPr>
                <w:rFonts w:asciiTheme="minorHAnsi" w:eastAsia="Calibri" w:hAnsiTheme="minorHAnsi" w:cstheme="minorHAnsi"/>
                <w:color w:val="002060"/>
              </w:rPr>
            </w:pPr>
          </w:p>
          <w:p w14:paraId="745DB329" w14:textId="77777777" w:rsidR="00A6056D" w:rsidRPr="00A6056D" w:rsidRDefault="00A6056D" w:rsidP="00A6056D">
            <w:pPr>
              <w:rPr>
                <w:rFonts w:asciiTheme="minorHAnsi" w:hAnsiTheme="minorHAnsi" w:cstheme="minorHAnsi"/>
                <w:b/>
                <w:bCs/>
                <w:color w:val="C00000"/>
              </w:rPr>
            </w:pPr>
            <w:r w:rsidRPr="00A6056D">
              <w:rPr>
                <w:rFonts w:asciiTheme="minorHAnsi" w:hAnsiTheme="minorHAnsi" w:cstheme="minorHAnsi"/>
                <w:b/>
                <w:bCs/>
                <w:color w:val="C00000"/>
              </w:rPr>
              <w:t>Types of Hazards</w:t>
            </w:r>
          </w:p>
          <w:p w14:paraId="49AF12C5" w14:textId="77777777" w:rsidR="00A6056D" w:rsidRPr="00A6056D" w:rsidRDefault="00A6056D" w:rsidP="00A6056D">
            <w:pPr>
              <w:rPr>
                <w:rFonts w:asciiTheme="minorHAnsi" w:hAnsiTheme="minorHAnsi" w:cstheme="minorHAnsi"/>
                <w:color w:val="002060"/>
              </w:rPr>
            </w:pPr>
            <w:r w:rsidRPr="00A6056D">
              <w:rPr>
                <w:rFonts w:asciiTheme="minorHAnsi" w:hAnsiTheme="minorHAnsi" w:cstheme="minorHAnsi"/>
                <w:color w:val="002060"/>
              </w:rPr>
              <w:t>Hazards can come in different forms. Understanding the types can help us be more vigilant:</w:t>
            </w:r>
          </w:p>
          <w:p w14:paraId="5C6FF88A" w14:textId="77777777" w:rsidR="00A6056D" w:rsidRPr="00A6056D" w:rsidRDefault="00A6056D" w:rsidP="00A6056D">
            <w:pPr>
              <w:numPr>
                <w:ilvl w:val="0"/>
                <w:numId w:val="45"/>
              </w:numPr>
              <w:spacing w:line="252" w:lineRule="auto"/>
              <w:rPr>
                <w:rFonts w:asciiTheme="minorHAnsi" w:hAnsiTheme="minorHAnsi" w:cstheme="minorHAnsi"/>
                <w:color w:val="002060"/>
              </w:rPr>
            </w:pPr>
            <w:r w:rsidRPr="00A6056D">
              <w:rPr>
                <w:rFonts w:asciiTheme="minorHAnsi" w:hAnsiTheme="minorHAnsi" w:cstheme="minorHAnsi"/>
                <w:b/>
                <w:bCs/>
                <w:color w:val="002060"/>
              </w:rPr>
              <w:t>Physical Hazards:</w:t>
            </w:r>
            <w:r w:rsidRPr="00A6056D">
              <w:rPr>
                <w:rFonts w:asciiTheme="minorHAnsi" w:hAnsiTheme="minorHAnsi" w:cstheme="minorHAnsi"/>
                <w:color w:val="002060"/>
              </w:rPr>
              <w:t> These include slips, trips, falls, and equipment-related risks. For example, if there’s a wet floor without a warning sign, that’s a physical hazard you should take seriously.</w:t>
            </w:r>
          </w:p>
          <w:p w14:paraId="4E9EB254" w14:textId="77777777" w:rsidR="00A6056D" w:rsidRPr="00A6056D" w:rsidRDefault="00A6056D" w:rsidP="00A6056D">
            <w:pPr>
              <w:numPr>
                <w:ilvl w:val="0"/>
                <w:numId w:val="45"/>
              </w:numPr>
              <w:spacing w:line="252" w:lineRule="auto"/>
              <w:rPr>
                <w:rFonts w:asciiTheme="minorHAnsi" w:hAnsiTheme="minorHAnsi" w:cstheme="minorHAnsi"/>
                <w:color w:val="002060"/>
              </w:rPr>
            </w:pPr>
            <w:r w:rsidRPr="00A6056D">
              <w:rPr>
                <w:rFonts w:asciiTheme="minorHAnsi" w:hAnsiTheme="minorHAnsi" w:cstheme="minorHAnsi"/>
                <w:b/>
                <w:bCs/>
                <w:color w:val="002060"/>
              </w:rPr>
              <w:t>Chemical Hazards:</w:t>
            </w:r>
            <w:r w:rsidRPr="00A6056D">
              <w:rPr>
                <w:rFonts w:asciiTheme="minorHAnsi" w:hAnsiTheme="minorHAnsi" w:cstheme="minorHAnsi"/>
                <w:color w:val="002060"/>
              </w:rPr>
              <w:t> Exposure to harmful substances like solvents or fumes poses significant risks. Always make sure you’re aware of Material Safety Data Sheets (MSDS) and follow safety instructions when handling chemicals.</w:t>
            </w:r>
          </w:p>
          <w:p w14:paraId="392C2572" w14:textId="77777777" w:rsidR="00A6056D" w:rsidRPr="00A6056D" w:rsidRDefault="00A6056D" w:rsidP="00A6056D">
            <w:pPr>
              <w:numPr>
                <w:ilvl w:val="0"/>
                <w:numId w:val="45"/>
              </w:numPr>
              <w:spacing w:line="252" w:lineRule="auto"/>
              <w:rPr>
                <w:rFonts w:asciiTheme="minorHAnsi" w:hAnsiTheme="minorHAnsi" w:cstheme="minorHAnsi"/>
                <w:color w:val="002060"/>
              </w:rPr>
            </w:pPr>
            <w:r w:rsidRPr="00A6056D">
              <w:rPr>
                <w:rFonts w:asciiTheme="minorHAnsi" w:hAnsiTheme="minorHAnsi" w:cstheme="minorHAnsi"/>
                <w:b/>
                <w:bCs/>
                <w:color w:val="002060"/>
              </w:rPr>
              <w:t>Ergonomic Hazards:</w:t>
            </w:r>
            <w:r w:rsidRPr="00A6056D">
              <w:rPr>
                <w:rFonts w:asciiTheme="minorHAnsi" w:hAnsiTheme="minorHAnsi" w:cstheme="minorHAnsi"/>
                <w:color w:val="002060"/>
              </w:rPr>
              <w:t> Repetitive movements or uncomfortable workstations can lead to musculoskeletal disorders. For instance, someone who spends too long at a desk without proper support could develop back pain.</w:t>
            </w:r>
          </w:p>
          <w:p w14:paraId="6DA55396" w14:textId="77777777" w:rsidR="00A6056D" w:rsidRPr="00A6056D" w:rsidRDefault="00A6056D" w:rsidP="00A6056D">
            <w:pPr>
              <w:numPr>
                <w:ilvl w:val="0"/>
                <w:numId w:val="45"/>
              </w:numPr>
              <w:spacing w:line="252" w:lineRule="auto"/>
              <w:rPr>
                <w:rFonts w:asciiTheme="minorHAnsi" w:hAnsiTheme="minorHAnsi" w:cstheme="minorHAnsi"/>
                <w:color w:val="002060"/>
              </w:rPr>
            </w:pPr>
            <w:r w:rsidRPr="00A6056D">
              <w:rPr>
                <w:rFonts w:asciiTheme="minorHAnsi" w:hAnsiTheme="minorHAnsi" w:cstheme="minorHAnsi"/>
                <w:b/>
                <w:bCs/>
                <w:color w:val="002060"/>
              </w:rPr>
              <w:t>Biological Hazards:</w:t>
            </w:r>
            <w:r w:rsidRPr="00A6056D">
              <w:rPr>
                <w:rFonts w:asciiTheme="minorHAnsi" w:hAnsiTheme="minorHAnsi" w:cstheme="minorHAnsi"/>
                <w:color w:val="002060"/>
              </w:rPr>
              <w:t> Viruses, bacteria, and fungi can be a concern, especially in certain environments. Proper hygiene practices can mitigate these risks.</w:t>
            </w:r>
          </w:p>
          <w:p w14:paraId="7A84A523" w14:textId="77777777" w:rsidR="00A6056D" w:rsidRPr="00A6056D" w:rsidRDefault="00A6056D" w:rsidP="00A6056D">
            <w:pPr>
              <w:rPr>
                <w:rFonts w:asciiTheme="minorHAnsi" w:hAnsiTheme="minorHAnsi" w:cstheme="minorHAnsi"/>
                <w:color w:val="002060"/>
              </w:rPr>
            </w:pPr>
          </w:p>
          <w:p w14:paraId="4DC03576" w14:textId="77777777" w:rsidR="00A6056D" w:rsidRPr="00A6056D" w:rsidRDefault="00A6056D" w:rsidP="00A6056D">
            <w:pPr>
              <w:rPr>
                <w:rFonts w:asciiTheme="minorHAnsi" w:hAnsiTheme="minorHAnsi" w:cstheme="minorHAnsi"/>
                <w:b/>
                <w:bCs/>
                <w:color w:val="C00000"/>
              </w:rPr>
            </w:pPr>
            <w:r w:rsidRPr="00A6056D">
              <w:rPr>
                <w:rFonts w:asciiTheme="minorHAnsi" w:hAnsiTheme="minorHAnsi" w:cstheme="minorHAnsi"/>
                <w:b/>
                <w:bCs/>
                <w:color w:val="C00000"/>
              </w:rPr>
              <w:t>Steps in Conducting a Hazard Assessment</w:t>
            </w:r>
          </w:p>
          <w:p w14:paraId="61CFD28C" w14:textId="77777777" w:rsidR="00A6056D" w:rsidRPr="00A6056D" w:rsidRDefault="00A6056D" w:rsidP="00A6056D">
            <w:pPr>
              <w:rPr>
                <w:rFonts w:asciiTheme="minorHAnsi" w:hAnsiTheme="minorHAnsi" w:cstheme="minorHAnsi"/>
                <w:color w:val="002060"/>
              </w:rPr>
            </w:pPr>
            <w:r w:rsidRPr="00A6056D">
              <w:rPr>
                <w:rFonts w:asciiTheme="minorHAnsi" w:hAnsiTheme="minorHAnsi" w:cstheme="minorHAnsi"/>
                <w:color w:val="002060"/>
              </w:rPr>
              <w:t xml:space="preserve">So, how do we </w:t>
            </w:r>
            <w:proofErr w:type="gramStart"/>
            <w:r w:rsidRPr="00A6056D">
              <w:rPr>
                <w:rFonts w:asciiTheme="minorHAnsi" w:hAnsiTheme="minorHAnsi" w:cstheme="minorHAnsi"/>
                <w:color w:val="002060"/>
              </w:rPr>
              <w:t>actually go</w:t>
            </w:r>
            <w:proofErr w:type="gramEnd"/>
            <w:r w:rsidRPr="00A6056D">
              <w:rPr>
                <w:rFonts w:asciiTheme="minorHAnsi" w:hAnsiTheme="minorHAnsi" w:cstheme="minorHAnsi"/>
                <w:color w:val="002060"/>
              </w:rPr>
              <w:t xml:space="preserve"> about assessing hazards? Here’s a simple process:</w:t>
            </w:r>
          </w:p>
          <w:p w14:paraId="7CCD2729" w14:textId="77777777" w:rsidR="00A6056D" w:rsidRPr="00A6056D" w:rsidRDefault="00A6056D" w:rsidP="00A6056D">
            <w:pPr>
              <w:rPr>
                <w:rFonts w:asciiTheme="minorHAnsi" w:hAnsiTheme="minorHAnsi" w:cstheme="minorHAnsi"/>
                <w:color w:val="002060"/>
              </w:rPr>
            </w:pPr>
          </w:p>
          <w:p w14:paraId="65645C15" w14:textId="77777777" w:rsidR="00A6056D" w:rsidRPr="00A6056D" w:rsidRDefault="00A6056D" w:rsidP="00A6056D">
            <w:pPr>
              <w:rPr>
                <w:rFonts w:asciiTheme="minorHAnsi" w:hAnsiTheme="minorHAnsi" w:cstheme="minorHAnsi"/>
                <w:b/>
                <w:bCs/>
                <w:color w:val="C00000"/>
              </w:rPr>
            </w:pPr>
            <w:r w:rsidRPr="00A6056D">
              <w:rPr>
                <w:rFonts w:asciiTheme="minorHAnsi" w:hAnsiTheme="minorHAnsi" w:cstheme="minorHAnsi"/>
                <w:b/>
                <w:bCs/>
                <w:color w:val="C00000"/>
              </w:rPr>
              <w:t>Identify Hazards</w:t>
            </w:r>
          </w:p>
          <w:p w14:paraId="562D8C23" w14:textId="77777777" w:rsidR="00A6056D" w:rsidRPr="00A6056D" w:rsidRDefault="00A6056D" w:rsidP="00A6056D">
            <w:pPr>
              <w:rPr>
                <w:rFonts w:asciiTheme="minorHAnsi" w:hAnsiTheme="minorHAnsi" w:cstheme="minorHAnsi"/>
                <w:color w:val="002060"/>
              </w:rPr>
            </w:pPr>
            <w:r w:rsidRPr="00A6056D">
              <w:rPr>
                <w:rFonts w:asciiTheme="minorHAnsi" w:hAnsiTheme="minorHAnsi" w:cstheme="minorHAnsi"/>
                <w:color w:val="002060"/>
              </w:rPr>
              <w:t>Walk through the workspace and jot down anything that seems risky. Talk to your team and encourage them to share their concerns. They might notice things you don’t!</w:t>
            </w:r>
          </w:p>
          <w:p w14:paraId="2C65F3E2" w14:textId="77777777" w:rsidR="00A6056D" w:rsidRPr="00A6056D" w:rsidRDefault="00A6056D" w:rsidP="00A6056D">
            <w:pPr>
              <w:rPr>
                <w:rFonts w:asciiTheme="minorHAnsi" w:hAnsiTheme="minorHAnsi" w:cstheme="minorHAnsi"/>
                <w:color w:val="002060"/>
              </w:rPr>
            </w:pPr>
          </w:p>
          <w:p w14:paraId="5E49DE6C" w14:textId="77777777" w:rsidR="00A6056D" w:rsidRPr="00A6056D" w:rsidRDefault="00A6056D" w:rsidP="00A6056D">
            <w:pPr>
              <w:rPr>
                <w:rFonts w:asciiTheme="minorHAnsi" w:hAnsiTheme="minorHAnsi" w:cstheme="minorHAnsi"/>
                <w:b/>
                <w:bCs/>
                <w:color w:val="C00000"/>
              </w:rPr>
            </w:pPr>
            <w:r w:rsidRPr="00A6056D">
              <w:rPr>
                <w:rFonts w:asciiTheme="minorHAnsi" w:hAnsiTheme="minorHAnsi" w:cstheme="minorHAnsi"/>
                <w:b/>
                <w:bCs/>
                <w:color w:val="C00000"/>
              </w:rPr>
              <w:t>Evaluate Risks</w:t>
            </w:r>
          </w:p>
          <w:p w14:paraId="52E6AD59" w14:textId="77777777" w:rsidR="00A6056D" w:rsidRPr="00A6056D" w:rsidRDefault="00A6056D" w:rsidP="00A6056D">
            <w:pPr>
              <w:rPr>
                <w:rFonts w:asciiTheme="minorHAnsi" w:hAnsiTheme="minorHAnsi" w:cstheme="minorHAnsi"/>
                <w:color w:val="002060"/>
              </w:rPr>
            </w:pPr>
            <w:r w:rsidRPr="00A6056D">
              <w:rPr>
                <w:rFonts w:asciiTheme="minorHAnsi" w:hAnsiTheme="minorHAnsi" w:cstheme="minorHAnsi"/>
                <w:color w:val="002060"/>
              </w:rPr>
              <w:t>Determine how likely these hazards are to cause harm and how severe the outcome could be. This helps prioritize which hazards need immediate attention. For example, a loose step might be a minor risk, but a frayed electrical cord could result in a serious shock.</w:t>
            </w:r>
          </w:p>
          <w:p w14:paraId="7695208C" w14:textId="77777777" w:rsidR="00A6056D" w:rsidRPr="00A6056D" w:rsidRDefault="00A6056D" w:rsidP="00A6056D">
            <w:pPr>
              <w:rPr>
                <w:rFonts w:asciiTheme="minorHAnsi" w:hAnsiTheme="minorHAnsi" w:cstheme="minorHAnsi"/>
                <w:b/>
                <w:bCs/>
                <w:color w:val="C00000"/>
              </w:rPr>
            </w:pPr>
            <w:r w:rsidRPr="00A6056D">
              <w:rPr>
                <w:rFonts w:asciiTheme="minorHAnsi" w:hAnsiTheme="minorHAnsi" w:cstheme="minorHAnsi"/>
                <w:b/>
                <w:bCs/>
                <w:color w:val="C00000"/>
              </w:rPr>
              <w:t>Implement Control Measures</w:t>
            </w:r>
          </w:p>
          <w:p w14:paraId="520E864E" w14:textId="77777777" w:rsidR="00A6056D" w:rsidRPr="00A6056D" w:rsidRDefault="00A6056D" w:rsidP="00A6056D">
            <w:pPr>
              <w:rPr>
                <w:rFonts w:asciiTheme="minorHAnsi" w:hAnsiTheme="minorHAnsi" w:cstheme="minorHAnsi"/>
                <w:color w:val="002060"/>
              </w:rPr>
            </w:pPr>
            <w:r w:rsidRPr="00A6056D">
              <w:rPr>
                <w:rFonts w:asciiTheme="minorHAnsi" w:hAnsiTheme="minorHAnsi" w:cstheme="minorHAnsi"/>
                <w:color w:val="002060"/>
              </w:rPr>
              <w:t>Once you’ve identified and evaluated hazards, it’s time to act. Control measures could include:</w:t>
            </w:r>
          </w:p>
          <w:p w14:paraId="12434A76" w14:textId="77777777" w:rsidR="00A6056D" w:rsidRPr="00A6056D" w:rsidRDefault="00A6056D" w:rsidP="00A6056D">
            <w:pPr>
              <w:numPr>
                <w:ilvl w:val="0"/>
                <w:numId w:val="46"/>
              </w:numPr>
              <w:spacing w:after="160" w:line="252" w:lineRule="auto"/>
              <w:rPr>
                <w:rFonts w:asciiTheme="minorHAnsi" w:hAnsiTheme="minorHAnsi" w:cstheme="minorHAnsi"/>
                <w:color w:val="002060"/>
              </w:rPr>
            </w:pPr>
            <w:r w:rsidRPr="00A6056D">
              <w:rPr>
                <w:rFonts w:asciiTheme="minorHAnsi" w:hAnsiTheme="minorHAnsi" w:cstheme="minorHAnsi"/>
                <w:b/>
                <w:bCs/>
                <w:color w:val="002060"/>
              </w:rPr>
              <w:lastRenderedPageBreak/>
              <w:t>Elimination:</w:t>
            </w:r>
            <w:r w:rsidRPr="00A6056D">
              <w:rPr>
                <w:rFonts w:asciiTheme="minorHAnsi" w:hAnsiTheme="minorHAnsi" w:cstheme="minorHAnsi"/>
                <w:color w:val="002060"/>
              </w:rPr>
              <w:t> If possible, remove the hazard completely. If a certain task is too dangerous, find an alternative.</w:t>
            </w:r>
          </w:p>
          <w:p w14:paraId="3A8C4877" w14:textId="77777777" w:rsidR="00A6056D" w:rsidRPr="00A6056D" w:rsidRDefault="00A6056D" w:rsidP="00A6056D">
            <w:pPr>
              <w:numPr>
                <w:ilvl w:val="0"/>
                <w:numId w:val="46"/>
              </w:numPr>
              <w:spacing w:after="160" w:line="252" w:lineRule="auto"/>
              <w:rPr>
                <w:rFonts w:asciiTheme="minorHAnsi" w:hAnsiTheme="minorHAnsi" w:cstheme="minorHAnsi"/>
                <w:color w:val="002060"/>
              </w:rPr>
            </w:pPr>
            <w:r w:rsidRPr="00A6056D">
              <w:rPr>
                <w:rFonts w:asciiTheme="minorHAnsi" w:hAnsiTheme="minorHAnsi" w:cstheme="minorHAnsi"/>
                <w:b/>
                <w:bCs/>
                <w:color w:val="002060"/>
              </w:rPr>
              <w:t>Substitution:</w:t>
            </w:r>
            <w:r w:rsidRPr="00A6056D">
              <w:rPr>
                <w:rFonts w:asciiTheme="minorHAnsi" w:hAnsiTheme="minorHAnsi" w:cstheme="minorHAnsi"/>
                <w:color w:val="002060"/>
              </w:rPr>
              <w:t> Substitute hazardous materials with safer ones whenever possible.</w:t>
            </w:r>
          </w:p>
          <w:p w14:paraId="32C4CE87" w14:textId="77777777" w:rsidR="00A6056D" w:rsidRPr="00A6056D" w:rsidRDefault="00A6056D" w:rsidP="00A6056D">
            <w:pPr>
              <w:numPr>
                <w:ilvl w:val="0"/>
                <w:numId w:val="46"/>
              </w:numPr>
              <w:spacing w:after="160" w:line="252" w:lineRule="auto"/>
              <w:rPr>
                <w:rFonts w:asciiTheme="minorHAnsi" w:hAnsiTheme="minorHAnsi" w:cstheme="minorHAnsi"/>
                <w:color w:val="002060"/>
              </w:rPr>
            </w:pPr>
            <w:r w:rsidRPr="00A6056D">
              <w:rPr>
                <w:rFonts w:asciiTheme="minorHAnsi" w:hAnsiTheme="minorHAnsi" w:cstheme="minorHAnsi"/>
                <w:b/>
                <w:bCs/>
                <w:color w:val="002060"/>
              </w:rPr>
              <w:t>Engineering Controls:</w:t>
            </w:r>
            <w:r w:rsidRPr="00A6056D">
              <w:rPr>
                <w:rFonts w:asciiTheme="minorHAnsi" w:hAnsiTheme="minorHAnsi" w:cstheme="minorHAnsi"/>
                <w:color w:val="002060"/>
              </w:rPr>
              <w:t> This could involve installing guards on machines or improving ventilation to reduce exposure to harmful fumes.</w:t>
            </w:r>
          </w:p>
          <w:p w14:paraId="4333EDF4" w14:textId="77777777" w:rsidR="00A6056D" w:rsidRPr="00A6056D" w:rsidRDefault="00A6056D" w:rsidP="00A6056D">
            <w:pPr>
              <w:numPr>
                <w:ilvl w:val="0"/>
                <w:numId w:val="46"/>
              </w:numPr>
              <w:spacing w:after="160" w:line="252" w:lineRule="auto"/>
              <w:rPr>
                <w:rFonts w:asciiTheme="minorHAnsi" w:hAnsiTheme="minorHAnsi" w:cstheme="minorHAnsi"/>
                <w:color w:val="002060"/>
              </w:rPr>
            </w:pPr>
            <w:r w:rsidRPr="00A6056D">
              <w:rPr>
                <w:rFonts w:asciiTheme="minorHAnsi" w:hAnsiTheme="minorHAnsi" w:cstheme="minorHAnsi"/>
                <w:b/>
                <w:bCs/>
                <w:color w:val="002060"/>
              </w:rPr>
              <w:t>Administrative Controls:</w:t>
            </w:r>
            <w:r w:rsidRPr="00A6056D">
              <w:rPr>
                <w:rFonts w:asciiTheme="minorHAnsi" w:hAnsiTheme="minorHAnsi" w:cstheme="minorHAnsi"/>
                <w:color w:val="002060"/>
              </w:rPr>
              <w:t> Implementing policies to help minimize risk, such as rotating job responsibilities to reduce repetitive strain.</w:t>
            </w:r>
          </w:p>
          <w:p w14:paraId="3A3C8C79" w14:textId="77777777" w:rsidR="00A6056D" w:rsidRPr="00A6056D" w:rsidRDefault="00A6056D" w:rsidP="00A6056D">
            <w:pPr>
              <w:numPr>
                <w:ilvl w:val="0"/>
                <w:numId w:val="46"/>
              </w:numPr>
              <w:spacing w:after="160" w:line="252" w:lineRule="auto"/>
              <w:rPr>
                <w:rFonts w:asciiTheme="minorHAnsi" w:hAnsiTheme="minorHAnsi" w:cstheme="minorHAnsi"/>
                <w:color w:val="002060"/>
              </w:rPr>
            </w:pPr>
            <w:r w:rsidRPr="00A6056D">
              <w:rPr>
                <w:rFonts w:asciiTheme="minorHAnsi" w:hAnsiTheme="minorHAnsi" w:cstheme="minorHAnsi"/>
                <w:b/>
                <w:bCs/>
                <w:color w:val="002060"/>
              </w:rPr>
              <w:t>PPE:</w:t>
            </w:r>
            <w:r w:rsidRPr="00A6056D">
              <w:rPr>
                <w:rFonts w:asciiTheme="minorHAnsi" w:hAnsiTheme="minorHAnsi" w:cstheme="minorHAnsi"/>
                <w:color w:val="002060"/>
              </w:rPr>
              <w:t> Personal protective equipment, like hard hats or safety glasses, should be the last resort but is crucial for protecting workers.</w:t>
            </w:r>
          </w:p>
          <w:p w14:paraId="3FE5C7D6" w14:textId="77777777" w:rsidR="00A6056D" w:rsidRPr="00A6056D" w:rsidRDefault="00A6056D" w:rsidP="00A6056D">
            <w:pPr>
              <w:rPr>
                <w:rFonts w:asciiTheme="minorHAnsi" w:hAnsiTheme="minorHAnsi" w:cstheme="minorHAnsi"/>
                <w:b/>
                <w:bCs/>
                <w:color w:val="C00000"/>
              </w:rPr>
            </w:pPr>
            <w:r w:rsidRPr="00A6056D">
              <w:rPr>
                <w:rFonts w:asciiTheme="minorHAnsi" w:hAnsiTheme="minorHAnsi" w:cstheme="minorHAnsi"/>
                <w:b/>
                <w:bCs/>
                <w:color w:val="C00000"/>
              </w:rPr>
              <w:t>Regular Review</w:t>
            </w:r>
          </w:p>
          <w:p w14:paraId="6D303A53" w14:textId="77777777" w:rsidR="00A6056D" w:rsidRPr="00A6056D" w:rsidRDefault="00A6056D" w:rsidP="00A6056D">
            <w:pPr>
              <w:spacing w:after="240"/>
              <w:rPr>
                <w:rFonts w:asciiTheme="minorHAnsi" w:hAnsiTheme="minorHAnsi" w:cstheme="minorHAnsi"/>
                <w:color w:val="002060"/>
              </w:rPr>
            </w:pPr>
            <w:r w:rsidRPr="00A6056D">
              <w:rPr>
                <w:rFonts w:asciiTheme="minorHAnsi" w:hAnsiTheme="minorHAnsi" w:cstheme="minorHAnsi"/>
                <w:color w:val="002060"/>
              </w:rPr>
              <w:t>Conducting a hazard assessment isn’t a one-time deal. As our workplace changes and evolves, new risks can emerge. Schedule regular reviews of your assessments and keep an open line of communication with your team about any new concerns that arise.</w:t>
            </w:r>
          </w:p>
          <w:p w14:paraId="6E3A7D55" w14:textId="77777777" w:rsidR="00A6056D" w:rsidRPr="00A6056D" w:rsidRDefault="00A6056D" w:rsidP="00A6056D">
            <w:pPr>
              <w:rPr>
                <w:rFonts w:asciiTheme="minorHAnsi" w:hAnsiTheme="minorHAnsi" w:cstheme="minorHAnsi"/>
                <w:b/>
                <w:bCs/>
                <w:color w:val="C00000"/>
              </w:rPr>
            </w:pPr>
            <w:r w:rsidRPr="00A6056D">
              <w:rPr>
                <w:rFonts w:asciiTheme="minorHAnsi" w:hAnsiTheme="minorHAnsi" w:cstheme="minorHAnsi"/>
                <w:b/>
                <w:bCs/>
                <w:color w:val="C00000"/>
              </w:rPr>
              <w:t>Conclusion</w:t>
            </w:r>
          </w:p>
          <w:p w14:paraId="54E71765" w14:textId="77777777" w:rsidR="00A6056D" w:rsidRPr="00A6056D" w:rsidRDefault="00A6056D" w:rsidP="00A6056D">
            <w:pPr>
              <w:rPr>
                <w:rFonts w:asciiTheme="minorHAnsi" w:hAnsiTheme="minorHAnsi" w:cstheme="minorHAnsi"/>
                <w:color w:val="002060"/>
              </w:rPr>
            </w:pPr>
            <w:r w:rsidRPr="00A6056D">
              <w:rPr>
                <w:rFonts w:asciiTheme="minorHAnsi" w:hAnsiTheme="minorHAnsi" w:cstheme="minorHAnsi"/>
                <w:color w:val="002060"/>
              </w:rPr>
              <w:t>Hazard assessment is a key part of maintaining workplace safety. By recognizing potential risks and taking appropriate measures, we contribute to a safer, healthier working environment for ourselves and our colleagues. Let’s stay alert and keep looking out for each other. If you see something, say something!</w:t>
            </w:r>
          </w:p>
          <w:p w14:paraId="2B53B682" w14:textId="278143AE" w:rsidR="00B80CF0" w:rsidRPr="00B80CF0" w:rsidRDefault="00B80CF0" w:rsidP="00253A83">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045F" w14:textId="77777777" w:rsidR="002E3E67" w:rsidRDefault="002E3E67" w:rsidP="00A62DCC">
      <w:r>
        <w:separator/>
      </w:r>
    </w:p>
  </w:endnote>
  <w:endnote w:type="continuationSeparator" w:id="0">
    <w:p w14:paraId="2FF75EB9" w14:textId="77777777" w:rsidR="002E3E67" w:rsidRDefault="002E3E67" w:rsidP="00A62DCC">
      <w:r>
        <w:continuationSeparator/>
      </w:r>
    </w:p>
  </w:endnote>
  <w:endnote w:type="continuationNotice" w:id="1">
    <w:p w14:paraId="69BB78D9" w14:textId="77777777" w:rsidR="002E3E67" w:rsidRDefault="002E3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062D" w14:textId="77777777" w:rsidR="002E3E67" w:rsidRDefault="002E3E67" w:rsidP="00A62DCC">
      <w:r>
        <w:separator/>
      </w:r>
    </w:p>
  </w:footnote>
  <w:footnote w:type="continuationSeparator" w:id="0">
    <w:p w14:paraId="691CACA7" w14:textId="77777777" w:rsidR="002E3E67" w:rsidRDefault="002E3E67" w:rsidP="00A62DCC">
      <w:r>
        <w:continuationSeparator/>
      </w:r>
    </w:p>
  </w:footnote>
  <w:footnote w:type="continuationNotice" w:id="1">
    <w:p w14:paraId="22A0DF5A" w14:textId="77777777" w:rsidR="002E3E67" w:rsidRDefault="002E3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2E3E67">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2E3E67"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2E3E67"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0D1E0201"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A6056D">
            <w:rPr>
              <w:rFonts w:ascii="Calibri" w:hAnsi="Calibri" w:cs="Calibri"/>
              <w:b/>
              <w:bCs/>
              <w:color w:val="FFFFFF"/>
              <w:sz w:val="32"/>
              <w:szCs w:val="32"/>
            </w:rPr>
            <w:t xml:space="preserve">Hazard Assessment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16"/>
  </w:num>
  <w:num w:numId="2" w16cid:durableId="63064285">
    <w:abstractNumId w:val="40"/>
  </w:num>
  <w:num w:numId="3" w16cid:durableId="1343976724">
    <w:abstractNumId w:val="32"/>
  </w:num>
  <w:num w:numId="4" w16cid:durableId="1635335117">
    <w:abstractNumId w:val="26"/>
  </w:num>
  <w:num w:numId="5" w16cid:durableId="1523275998">
    <w:abstractNumId w:val="23"/>
  </w:num>
  <w:num w:numId="6" w16cid:durableId="228349664">
    <w:abstractNumId w:val="11"/>
  </w:num>
  <w:num w:numId="7" w16cid:durableId="1723599801">
    <w:abstractNumId w:val="34"/>
  </w:num>
  <w:num w:numId="8" w16cid:durableId="1944221497">
    <w:abstractNumId w:val="29"/>
  </w:num>
  <w:num w:numId="9" w16cid:durableId="1517229753">
    <w:abstractNumId w:val="43"/>
  </w:num>
  <w:num w:numId="10" w16cid:durableId="1069158003">
    <w:abstractNumId w:val="33"/>
  </w:num>
  <w:num w:numId="11" w16cid:durableId="1871213709">
    <w:abstractNumId w:val="24"/>
  </w:num>
  <w:num w:numId="12" w16cid:durableId="2142337395">
    <w:abstractNumId w:val="19"/>
  </w:num>
  <w:num w:numId="13" w16cid:durableId="1078289876">
    <w:abstractNumId w:val="22"/>
  </w:num>
  <w:num w:numId="14" w16cid:durableId="421801298">
    <w:abstractNumId w:val="30"/>
  </w:num>
  <w:num w:numId="15" w16cid:durableId="1192690045">
    <w:abstractNumId w:val="37"/>
  </w:num>
  <w:num w:numId="16" w16cid:durableId="1945187258">
    <w:abstractNumId w:val="6"/>
  </w:num>
  <w:num w:numId="17" w16cid:durableId="2037995376">
    <w:abstractNumId w:val="17"/>
  </w:num>
  <w:num w:numId="18" w16cid:durableId="1629624491">
    <w:abstractNumId w:val="45"/>
  </w:num>
  <w:num w:numId="19" w16cid:durableId="860363940">
    <w:abstractNumId w:val="27"/>
  </w:num>
  <w:num w:numId="20" w16cid:durableId="952052961">
    <w:abstractNumId w:val="44"/>
  </w:num>
  <w:num w:numId="21" w16cid:durableId="654382808">
    <w:abstractNumId w:val="31"/>
  </w:num>
  <w:num w:numId="22" w16cid:durableId="1205216323">
    <w:abstractNumId w:val="25"/>
  </w:num>
  <w:num w:numId="23" w16cid:durableId="1555190217">
    <w:abstractNumId w:val="39"/>
  </w:num>
  <w:num w:numId="24" w16cid:durableId="425619092">
    <w:abstractNumId w:val="18"/>
  </w:num>
  <w:num w:numId="25" w16cid:durableId="1693603912">
    <w:abstractNumId w:val="38"/>
  </w:num>
  <w:num w:numId="26" w16cid:durableId="696196720">
    <w:abstractNumId w:val="5"/>
  </w:num>
  <w:num w:numId="27" w16cid:durableId="1490750439">
    <w:abstractNumId w:val="14"/>
  </w:num>
  <w:num w:numId="28" w16cid:durableId="1613124742">
    <w:abstractNumId w:val="2"/>
  </w:num>
  <w:num w:numId="29" w16cid:durableId="711156914">
    <w:abstractNumId w:val="0"/>
  </w:num>
  <w:num w:numId="30" w16cid:durableId="1472021978">
    <w:abstractNumId w:val="35"/>
  </w:num>
  <w:num w:numId="31" w16cid:durableId="1072041832">
    <w:abstractNumId w:val="12"/>
  </w:num>
  <w:num w:numId="32" w16cid:durableId="1164514037">
    <w:abstractNumId w:val="20"/>
  </w:num>
  <w:num w:numId="33" w16cid:durableId="2014992110">
    <w:abstractNumId w:val="4"/>
  </w:num>
  <w:num w:numId="34" w16cid:durableId="558370535">
    <w:abstractNumId w:val="13"/>
  </w:num>
  <w:num w:numId="35" w16cid:durableId="146409542">
    <w:abstractNumId w:val="1"/>
  </w:num>
  <w:num w:numId="36" w16cid:durableId="1288901371">
    <w:abstractNumId w:val="28"/>
  </w:num>
  <w:num w:numId="37" w16cid:durableId="1633709234">
    <w:abstractNumId w:val="15"/>
  </w:num>
  <w:num w:numId="38" w16cid:durableId="533663913">
    <w:abstractNumId w:val="8"/>
  </w:num>
  <w:num w:numId="39" w16cid:durableId="108475790">
    <w:abstractNumId w:val="3"/>
  </w:num>
  <w:num w:numId="40" w16cid:durableId="1720082656">
    <w:abstractNumId w:val="36"/>
  </w:num>
  <w:num w:numId="41" w16cid:durableId="872957542">
    <w:abstractNumId w:val="7"/>
  </w:num>
  <w:num w:numId="42" w16cid:durableId="1563716957">
    <w:abstractNumId w:val="10"/>
  </w:num>
  <w:num w:numId="43" w16cid:durableId="1285577420">
    <w:abstractNumId w:val="41"/>
  </w:num>
  <w:num w:numId="44" w16cid:durableId="300959360">
    <w:abstractNumId w:val="9"/>
    <w:lvlOverride w:ilvl="0"/>
    <w:lvlOverride w:ilvl="1"/>
    <w:lvlOverride w:ilvl="2"/>
    <w:lvlOverride w:ilvl="3"/>
    <w:lvlOverride w:ilvl="4"/>
    <w:lvlOverride w:ilvl="5"/>
    <w:lvlOverride w:ilvl="6"/>
    <w:lvlOverride w:ilvl="7"/>
    <w:lvlOverride w:ilvl="8"/>
  </w:num>
  <w:num w:numId="45" w16cid:durableId="914897045">
    <w:abstractNumId w:val="21"/>
    <w:lvlOverride w:ilvl="0"/>
    <w:lvlOverride w:ilvl="1"/>
    <w:lvlOverride w:ilvl="2"/>
    <w:lvlOverride w:ilvl="3"/>
    <w:lvlOverride w:ilvl="4"/>
    <w:lvlOverride w:ilvl="5"/>
    <w:lvlOverride w:ilvl="6"/>
    <w:lvlOverride w:ilvl="7"/>
    <w:lvlOverride w:ilvl="8"/>
  </w:num>
  <w:num w:numId="46" w16cid:durableId="1649479581">
    <w:abstractNumId w:val="4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0349"/>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3E67"/>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37A9"/>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0CA"/>
    <w:rsid w:val="006E7342"/>
    <w:rsid w:val="006F407B"/>
    <w:rsid w:val="006F439C"/>
    <w:rsid w:val="006F7E14"/>
    <w:rsid w:val="0070223F"/>
    <w:rsid w:val="0070405F"/>
    <w:rsid w:val="00704F93"/>
    <w:rsid w:val="0070516F"/>
    <w:rsid w:val="00705785"/>
    <w:rsid w:val="00705E57"/>
    <w:rsid w:val="00706DA2"/>
    <w:rsid w:val="007074F3"/>
    <w:rsid w:val="0071689A"/>
    <w:rsid w:val="00732ED5"/>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984"/>
    <w:rsid w:val="00935BCA"/>
    <w:rsid w:val="0094317C"/>
    <w:rsid w:val="00951A21"/>
    <w:rsid w:val="00957B5D"/>
    <w:rsid w:val="00961353"/>
    <w:rsid w:val="00967F09"/>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4D21"/>
    <w:rsid w:val="00AF5808"/>
    <w:rsid w:val="00AF7F24"/>
    <w:rsid w:val="00B01C8F"/>
    <w:rsid w:val="00B05F72"/>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D4EE5"/>
    <w:rsid w:val="00BE4DC8"/>
    <w:rsid w:val="00BE53B2"/>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82E5B"/>
    <w:rsid w:val="00F84164"/>
    <w:rsid w:val="00F850D4"/>
    <w:rsid w:val="00F86C28"/>
    <w:rsid w:val="00F86FF4"/>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MCDQTPEREAW2-1735039157-1447136</_dlc_DocId>
    <_dlc_DocIdUrl xmlns="fec1979a-6260-4fb4-8f09-89dccc31fbab">
      <Url>https://mcsence.sharepoint.com/sites/McSenceServicesCompanyDocuments/_layouts/15/DocIdRedir.aspx?ID=MCDQTPEREAW2-1735039157-1447136</Url>
      <Description>MCDQTPEREAW2-1735039157-1447136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4952</Characters>
  <Application>Microsoft Office Word</Application>
  <DocSecurity>0</DocSecurity>
  <Lines>112</Lines>
  <Paragraphs>63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2026-04-09T12:55:00Z</dcterms:created>
  <dcterms:modified xsi:type="dcterms:W3CDTF">2026-04-09T12:55:00Z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fbcafa4c-43f6-49dc-96f8-39f76598ab2d</vt:lpwstr>
  </property>
</Properties>
</file>