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130"/>
        <w:gridCol w:w="6552"/>
      </w:tblGrid>
      <w:tr w:rsidR="00D94D9B" w14:paraId="042E54F7" w14:textId="77777777" w:rsidTr="002D5DFE">
        <w:tc>
          <w:tcPr>
            <w:tcW w:w="3466" w:type="dxa"/>
            <w:shd w:val="clear" w:color="auto" w:fill="auto"/>
          </w:tcPr>
          <w:bookmarkStart w:id="0" w:name="_Hlk521492441"/>
          <w:p w14:paraId="442DEE07" w14:textId="7CF19176" w:rsidR="00D94D9B" w:rsidRDefault="00920FDA">
            <w:pPr>
              <w:pStyle w:val="ListParagraph"/>
              <w:autoSpaceDE w:val="0"/>
              <w:autoSpaceDN w:val="0"/>
              <w:adjustRightInd w:val="0"/>
              <w:ind w:left="0"/>
              <w:jc w:val="both"/>
              <w:rPr>
                <w:rFonts w:cs="Calibri"/>
                <w:sz w:val="22"/>
                <w:szCs w:val="22"/>
              </w:rPr>
            </w:pPr>
            <w:r>
              <w:rPr>
                <w:rFonts w:cs="Calibri"/>
                <w:noProof/>
                <w:sz w:val="22"/>
                <w:szCs w:val="22"/>
              </w:rPr>
            </w:r>
            <w:r>
              <w:rPr>
                <w:rFonts w:cs="Calibri"/>
                <w:sz w:val="22"/>
                <w:szCs w:val="22"/>
              </w:rPr>
              <w:pict w14:anchorId="6C45FD46">
                <v:shape id="_x0000_s2053" type="#_x0000_t75" style="width:195.5pt;height:137pt;mso-left-percent:-10001;mso-top-percent:-10001;mso-position-horizontal:absolute;mso-position-horizontal-relative:char;mso-position-vertical:absolute;mso-position-vertical-relative:line;mso-left-percent:-10001;mso-top-percent:-10001">
                  <v:imagedata r:id="rId12" o:title=""/>
                  <w10:wrap type="none"/>
                  <w10:anchorlock/>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The prevention of all accidents involving personal injury or property damage is essential to the efficient operation of the McSence Group. It is the policy of McSence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4CF0E1D3" w:rsidR="00D94D9B" w:rsidRDefault="00D94D9B">
            <w:pPr>
              <w:pStyle w:val="ListParagraph"/>
              <w:autoSpaceDE w:val="0"/>
              <w:autoSpaceDN w:val="0"/>
              <w:adjustRightInd w:val="0"/>
              <w:ind w:left="0"/>
              <w:jc w:val="both"/>
              <w:rPr>
                <w:rFonts w:cs="Calibr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B96D3C" w:rsidRPr="00B96D3C">
                <w:rPr>
                  <w:rStyle w:val="Hyperlink"/>
                  <w:rFonts w:cs="Calibri"/>
                  <w:sz w:val="22"/>
                  <w:szCs w:val="22"/>
                </w:rPr>
                <w:t>Microsoft Word - Health &amp; Wellbeing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31116A78" w14:textId="6DF73A17" w:rsidR="00ED0D89" w:rsidRDefault="00D9338B" w:rsidP="00B234B5">
            <w:pPr>
              <w:pStyle w:val="ListParagraph"/>
              <w:autoSpaceDE w:val="0"/>
              <w:autoSpaceDN w:val="0"/>
              <w:adjustRightInd w:val="0"/>
              <w:ind w:left="0"/>
              <w:jc w:val="both"/>
              <w:rPr>
                <w:rFonts w:cs="Calibri"/>
                <w:sz w:val="22"/>
                <w:szCs w:val="22"/>
              </w:rPr>
            </w:pPr>
            <w:r>
              <w:rPr>
                <w:rFonts w:cs="Calibri"/>
                <w:b/>
                <w:bCs/>
                <w:color w:val="C00000"/>
                <w:sz w:val="22"/>
                <w:szCs w:val="22"/>
              </w:rPr>
              <w:t>HSE Videos</w:t>
            </w:r>
            <w:r w:rsidR="00B05F72">
              <w:rPr>
                <w:rFonts w:cs="Calibri"/>
                <w:b/>
                <w:bCs/>
                <w:color w:val="C00000"/>
                <w:sz w:val="22"/>
                <w:szCs w:val="22"/>
              </w:rPr>
              <w:t xml:space="preserve">: Click on this link for more </w:t>
            </w:r>
            <w:r w:rsidR="00B234B5">
              <w:rPr>
                <w:rFonts w:cs="Calibri"/>
                <w:b/>
                <w:bCs/>
                <w:color w:val="C00000"/>
                <w:sz w:val="22"/>
                <w:szCs w:val="22"/>
              </w:rPr>
              <w:t xml:space="preserve">info </w:t>
            </w:r>
            <w:hyperlink r:id="rId14" w:history="1"/>
            <w:r w:rsidR="00B96D3C">
              <w:rPr>
                <w:rFonts w:cs="Calibri"/>
                <w:sz w:val="22"/>
                <w:szCs w:val="22"/>
              </w:rPr>
              <w:t xml:space="preserve"> </w:t>
            </w:r>
            <w:hyperlink r:id="rId15" w:history="1">
              <w:r w:rsidR="00C270D2" w:rsidRPr="00C270D2">
                <w:rPr>
                  <w:rStyle w:val="Hyperlink"/>
                  <w:rFonts w:cs="Calibri"/>
                  <w:sz w:val="22"/>
                  <w:szCs w:val="22"/>
                </w:rPr>
                <w:t>Heat stress as a workplace hazard</w:t>
              </w:r>
            </w:hyperlink>
          </w:p>
        </w:tc>
      </w:tr>
    </w:tbl>
    <w:p w14:paraId="395023B8" w14:textId="77777777" w:rsidR="00911C9E" w:rsidRDefault="00911C9E"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911C9E" w14:paraId="4D5069C1" w14:textId="77777777">
        <w:tc>
          <w:tcPr>
            <w:tcW w:w="10682" w:type="dxa"/>
            <w:shd w:val="clear" w:color="auto" w:fill="auto"/>
          </w:tcPr>
          <w:p w14:paraId="1611D9CA" w14:textId="1297D96C" w:rsidR="00911C9E" w:rsidRDefault="00911C9E">
            <w:pPr>
              <w:jc w:val="center"/>
              <w:rPr>
                <w:rFonts w:ascii="Calibri" w:hAnsi="Calibri" w:cs="Calibri"/>
                <w:b/>
                <w:bCs/>
                <w:color w:val="002060"/>
                <w:sz w:val="32"/>
                <w:szCs w:val="32"/>
              </w:rPr>
            </w:pPr>
            <w:proofErr w:type="gramStart"/>
            <w:r>
              <w:rPr>
                <w:rFonts w:ascii="Calibri" w:hAnsi="Calibri" w:cs="Calibri"/>
                <w:b/>
                <w:bCs/>
                <w:color w:val="002060"/>
                <w:sz w:val="32"/>
                <w:szCs w:val="32"/>
              </w:rPr>
              <w:t>….Virtual</w:t>
            </w:r>
            <w:proofErr w:type="gramEnd"/>
            <w:r>
              <w:rPr>
                <w:rFonts w:ascii="Calibri" w:hAnsi="Calibri" w:cs="Calibri"/>
                <w:b/>
                <w:bCs/>
                <w:color w:val="002060"/>
                <w:sz w:val="32"/>
                <w:szCs w:val="32"/>
              </w:rPr>
              <w:t xml:space="preserve"> Toolbox Talks – </w:t>
            </w:r>
            <w:r w:rsidR="00C270D2">
              <w:rPr>
                <w:rFonts w:ascii="Calibri" w:hAnsi="Calibri" w:cs="Calibri"/>
                <w:b/>
                <w:bCs/>
                <w:color w:val="002060"/>
                <w:sz w:val="32"/>
                <w:szCs w:val="32"/>
              </w:rPr>
              <w:t>Heat Stress</w:t>
            </w:r>
            <w:r>
              <w:rPr>
                <w:rFonts w:ascii="Calibri" w:hAnsi="Calibri" w:cs="Calibri"/>
                <w:b/>
                <w:bCs/>
                <w:color w:val="002060"/>
                <w:sz w:val="32"/>
                <w:szCs w:val="32"/>
              </w:rPr>
              <w:t>….</w:t>
            </w:r>
          </w:p>
          <w:p w14:paraId="5C83518D" w14:textId="77777777" w:rsidR="00C270D2" w:rsidRDefault="00C270D2">
            <w:pPr>
              <w:jc w:val="center"/>
              <w:rPr>
                <w:rFonts w:ascii="Calibri" w:eastAsia="Calibri" w:hAnsi="Calibri" w:cs="Calibri"/>
                <w:color w:val="002060"/>
                <w:sz w:val="22"/>
                <w:szCs w:val="22"/>
              </w:rPr>
            </w:pPr>
          </w:p>
          <w:p w14:paraId="42663440"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Heat Stress:  </w:t>
            </w:r>
            <w:r>
              <w:rPr>
                <w:rFonts w:ascii="Calibri" w:eastAsia="Aptos" w:hAnsi="Calibri" w:cs="Calibri"/>
                <w:color w:val="1F3864"/>
                <w:sz w:val="22"/>
                <w:szCs w:val="22"/>
              </w:rPr>
              <w:t xml:space="preserve">Manual, construction workers and other professionals are exposed to heat stress risks every summer. Heat is a silent killer in the workplace and on the job site, causing people to </w:t>
            </w:r>
            <w:proofErr w:type="gramStart"/>
            <w:r>
              <w:rPr>
                <w:rFonts w:ascii="Calibri" w:eastAsia="Aptos" w:hAnsi="Calibri" w:cs="Calibri"/>
                <w:color w:val="1F3864"/>
                <w:sz w:val="22"/>
                <w:szCs w:val="22"/>
              </w:rPr>
              <w:t>suddenly collapse</w:t>
            </w:r>
            <w:proofErr w:type="gramEnd"/>
            <w:r>
              <w:rPr>
                <w:rFonts w:ascii="Calibri" w:eastAsia="Aptos" w:hAnsi="Calibri" w:cs="Calibri"/>
                <w:color w:val="1F3864"/>
                <w:sz w:val="22"/>
                <w:szCs w:val="22"/>
              </w:rPr>
              <w:t xml:space="preserve"> and fail to recover at the hospital.</w:t>
            </w:r>
          </w:p>
          <w:p w14:paraId="65EF4906" w14:textId="77777777" w:rsidR="008228A4" w:rsidRPr="008228A4" w:rsidRDefault="008228A4" w:rsidP="008228A4">
            <w:pPr>
              <w:rPr>
                <w:rFonts w:ascii="Calibri" w:eastAsia="Aptos" w:hAnsi="Calibri" w:cs="Calibri"/>
                <w:sz w:val="22"/>
                <w:szCs w:val="22"/>
              </w:rPr>
            </w:pPr>
          </w:p>
          <w:p w14:paraId="27D159DA" w14:textId="77777777" w:rsidR="008228A4" w:rsidRPr="008228A4" w:rsidRDefault="008228A4" w:rsidP="008228A4">
            <w:pPr>
              <w:rPr>
                <w:rFonts w:ascii="Calibri" w:eastAsia="Aptos" w:hAnsi="Calibri" w:cs="Calibri"/>
                <w:b/>
                <w:bCs/>
                <w:color w:val="00B050"/>
                <w:sz w:val="22"/>
                <w:szCs w:val="22"/>
              </w:rPr>
            </w:pPr>
            <w:r w:rsidRPr="008228A4">
              <w:rPr>
                <w:rFonts w:ascii="Calibri" w:eastAsia="Aptos" w:hAnsi="Calibri" w:cs="Calibri"/>
                <w:b/>
                <w:bCs/>
                <w:color w:val="00B050"/>
                <w:sz w:val="22"/>
                <w:szCs w:val="22"/>
              </w:rPr>
              <w:t>Staying hydrated and wearing the right clothing can go a long way in protecting workers from heat stress. However, you may need to change your work patterns as well during heat waves where temperatures peak.</w:t>
            </w:r>
          </w:p>
          <w:p w14:paraId="2570BE8A" w14:textId="77777777" w:rsidR="008228A4" w:rsidRPr="008228A4" w:rsidRDefault="008228A4" w:rsidP="008228A4">
            <w:pPr>
              <w:rPr>
                <w:rFonts w:ascii="Calibri" w:eastAsia="Aptos" w:hAnsi="Calibri" w:cs="Calibri"/>
                <w:sz w:val="22"/>
                <w:szCs w:val="22"/>
              </w:rPr>
            </w:pPr>
          </w:p>
          <w:p w14:paraId="714A6C67"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What Heat-Related Illnesses (HRI) are Common? </w:t>
            </w:r>
            <w:r>
              <w:rPr>
                <w:rFonts w:ascii="Calibri" w:eastAsia="Aptos" w:hAnsi="Calibri" w:cs="Calibri"/>
                <w:color w:val="1F3864"/>
                <w:sz w:val="22"/>
                <w:szCs w:val="22"/>
              </w:rPr>
              <w:t>Heat does more than just make you sweat, which is an essential part of staying cool. When your body’s natural cooling abilities are overwhelmed by heat and humidity, your internal temperature rises which can cause mild to serious heat related illnesses, or HRI.</w:t>
            </w:r>
          </w:p>
          <w:p w14:paraId="4F2D9511" w14:textId="77777777" w:rsidR="008228A4" w:rsidRPr="008228A4" w:rsidRDefault="008228A4" w:rsidP="008228A4">
            <w:pPr>
              <w:rPr>
                <w:rFonts w:ascii="Calibri" w:eastAsia="Aptos" w:hAnsi="Calibri" w:cs="Calibri"/>
                <w:sz w:val="22"/>
                <w:szCs w:val="22"/>
              </w:rPr>
            </w:pPr>
          </w:p>
          <w:p w14:paraId="22BC8B83"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Heat Exhaustion: </w:t>
            </w:r>
            <w:r>
              <w:rPr>
                <w:rFonts w:ascii="Calibri" w:eastAsia="Aptos" w:hAnsi="Calibri" w:cs="Calibri"/>
                <w:color w:val="1F3864"/>
                <w:sz w:val="22"/>
                <w:szCs w:val="22"/>
              </w:rPr>
              <w:t>Heat exhaustion is less serious than a heat stroke, but it still requires treatment and attention to avoid permanent damage. It occurs because you have either become dehydrated and/or are low on sodium (salt) where the signs include:</w:t>
            </w:r>
          </w:p>
          <w:p w14:paraId="3640EE5E"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Nausea</w:t>
            </w:r>
          </w:p>
          <w:p w14:paraId="74055474"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Headache, especially coming on suddenly</w:t>
            </w:r>
          </w:p>
          <w:p w14:paraId="0B85CAD9"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Pale or clammy skin</w:t>
            </w:r>
          </w:p>
          <w:p w14:paraId="26C39F1B"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Muscle cramps</w:t>
            </w:r>
          </w:p>
          <w:p w14:paraId="39BB9218"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Dizziness</w:t>
            </w:r>
          </w:p>
          <w:p w14:paraId="6BE080E7"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Fainting</w:t>
            </w:r>
          </w:p>
          <w:p w14:paraId="1EBE041F" w14:textId="77777777" w:rsidR="008228A4" w:rsidRDefault="008228A4" w:rsidP="008228A4">
            <w:pPr>
              <w:numPr>
                <w:ilvl w:val="0"/>
                <w:numId w:val="11"/>
              </w:numPr>
              <w:rPr>
                <w:rFonts w:ascii="Calibri" w:hAnsi="Calibri" w:cs="Calibri"/>
                <w:color w:val="1F3864"/>
                <w:sz w:val="22"/>
                <w:szCs w:val="22"/>
              </w:rPr>
            </w:pPr>
            <w:r>
              <w:rPr>
                <w:rFonts w:ascii="Calibri" w:hAnsi="Calibri" w:cs="Calibri"/>
                <w:color w:val="1F3864"/>
                <w:sz w:val="22"/>
                <w:szCs w:val="22"/>
              </w:rPr>
              <w:t>Vomiting</w:t>
            </w:r>
          </w:p>
          <w:p w14:paraId="7AB0E9CE" w14:textId="77777777" w:rsidR="008228A4" w:rsidRPr="008228A4" w:rsidRDefault="008228A4" w:rsidP="008228A4">
            <w:pPr>
              <w:rPr>
                <w:rFonts w:ascii="Calibri" w:eastAsia="Aptos" w:hAnsi="Calibri" w:cs="Calibri"/>
                <w:b/>
                <w:bCs/>
                <w:i/>
                <w:iCs/>
                <w:color w:val="00B050"/>
                <w:sz w:val="22"/>
                <w:szCs w:val="22"/>
              </w:rPr>
            </w:pPr>
            <w:r w:rsidRPr="008228A4">
              <w:rPr>
                <w:rFonts w:ascii="Calibri" w:eastAsia="Aptos" w:hAnsi="Calibri" w:cs="Calibri"/>
                <w:b/>
                <w:bCs/>
                <w:i/>
                <w:iCs/>
                <w:color w:val="00B050"/>
                <w:sz w:val="22"/>
                <w:szCs w:val="22"/>
              </w:rPr>
              <w:t>Actions(s): Move out of the sun and rest any time you experience early symptoms of heat exhaustion. An upset stomach tends to occur when you drink plenty of water but don’t have enough salt and other electrolytes in your system. Salt tablets, salty snacks, and sports drinks can all help to provide enough sodium to keep heat exhaustion at bay.</w:t>
            </w:r>
          </w:p>
          <w:p w14:paraId="70068E27" w14:textId="77777777" w:rsidR="008228A4" w:rsidRPr="008228A4" w:rsidRDefault="008228A4" w:rsidP="008228A4">
            <w:pPr>
              <w:rPr>
                <w:rFonts w:ascii="Calibri" w:eastAsia="Aptos" w:hAnsi="Calibri" w:cs="Calibri"/>
                <w:sz w:val="22"/>
                <w:szCs w:val="22"/>
              </w:rPr>
            </w:pPr>
          </w:p>
          <w:p w14:paraId="468853FF"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Heatstroke: </w:t>
            </w:r>
            <w:r>
              <w:rPr>
                <w:rFonts w:ascii="Calibri" w:eastAsia="Aptos" w:hAnsi="Calibri" w:cs="Calibri"/>
                <w:color w:val="1F3864"/>
                <w:sz w:val="22"/>
                <w:szCs w:val="22"/>
              </w:rPr>
              <w:t>Heatstroke is a more serious than HRI and it that can kill. However, even non-fatal cases of heatstroke can still leave you with permanent organ damage, including to the brain. You don’t have to show any warning signs of heat exhaustion before progressing to this stage. It can come on suddenly, especially if you are dehydrated, impaired in your ability to sweat, or are exposed to sudden swings in temperature with the symptoms of heatstroke being:</w:t>
            </w:r>
          </w:p>
          <w:p w14:paraId="770B31C7"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A lack of sweating despite the heat</w:t>
            </w:r>
          </w:p>
          <w:p w14:paraId="03819ED3"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Bright red skin that is hot to the touch</w:t>
            </w:r>
          </w:p>
          <w:p w14:paraId="1EB6BE20"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Flushed appearance in the face and chest</w:t>
            </w:r>
          </w:p>
          <w:p w14:paraId="63A89150"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Disorientation, confusion, or anger</w:t>
            </w:r>
          </w:p>
          <w:p w14:paraId="54DB9309"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Extreme headache that may cause visual distortion</w:t>
            </w:r>
          </w:p>
          <w:p w14:paraId="06A4AC78" w14:textId="77777777" w:rsidR="008228A4" w:rsidRDefault="008228A4" w:rsidP="008228A4">
            <w:pPr>
              <w:numPr>
                <w:ilvl w:val="0"/>
                <w:numId w:val="12"/>
              </w:numPr>
              <w:rPr>
                <w:rFonts w:ascii="Calibri" w:hAnsi="Calibri" w:cs="Calibri"/>
                <w:color w:val="1F3864"/>
                <w:sz w:val="22"/>
                <w:szCs w:val="22"/>
              </w:rPr>
            </w:pPr>
            <w:r>
              <w:rPr>
                <w:rFonts w:ascii="Calibri" w:hAnsi="Calibri" w:cs="Calibri"/>
                <w:color w:val="1F3864"/>
                <w:sz w:val="22"/>
                <w:szCs w:val="22"/>
              </w:rPr>
              <w:t>Higher than usual body temperature</w:t>
            </w:r>
          </w:p>
          <w:p w14:paraId="76793628" w14:textId="77777777" w:rsidR="008228A4" w:rsidRDefault="008228A4" w:rsidP="008228A4">
            <w:pPr>
              <w:numPr>
                <w:ilvl w:val="0"/>
                <w:numId w:val="13"/>
              </w:numPr>
              <w:rPr>
                <w:rFonts w:ascii="Calibri" w:hAnsi="Calibri" w:cs="Calibri"/>
                <w:color w:val="1F3864"/>
                <w:sz w:val="22"/>
                <w:szCs w:val="22"/>
              </w:rPr>
            </w:pPr>
            <w:r>
              <w:rPr>
                <w:rFonts w:ascii="Calibri" w:hAnsi="Calibri" w:cs="Calibri"/>
                <w:color w:val="1F3864"/>
                <w:sz w:val="22"/>
                <w:szCs w:val="22"/>
              </w:rPr>
              <w:lastRenderedPageBreak/>
              <w:t>Seizures or muscle spasms</w:t>
            </w:r>
          </w:p>
          <w:p w14:paraId="231F9013" w14:textId="77777777" w:rsidR="008228A4" w:rsidRDefault="008228A4" w:rsidP="008228A4">
            <w:pPr>
              <w:numPr>
                <w:ilvl w:val="0"/>
                <w:numId w:val="13"/>
              </w:numPr>
              <w:rPr>
                <w:rFonts w:ascii="Calibri" w:hAnsi="Calibri" w:cs="Calibri"/>
                <w:color w:val="1F3864"/>
                <w:sz w:val="22"/>
                <w:szCs w:val="22"/>
              </w:rPr>
            </w:pPr>
            <w:r>
              <w:rPr>
                <w:rFonts w:ascii="Calibri" w:hAnsi="Calibri" w:cs="Calibri"/>
                <w:color w:val="1F3864"/>
                <w:sz w:val="22"/>
                <w:szCs w:val="22"/>
              </w:rPr>
              <w:t>Partial or full loss of consciousness.</w:t>
            </w:r>
          </w:p>
          <w:p w14:paraId="0CE6DFFA" w14:textId="77777777" w:rsidR="008228A4" w:rsidRPr="008228A4" w:rsidRDefault="008228A4" w:rsidP="008228A4">
            <w:pPr>
              <w:rPr>
                <w:rFonts w:ascii="Calibri" w:eastAsia="Aptos" w:hAnsi="Calibri" w:cs="Calibri"/>
                <w:b/>
                <w:bCs/>
                <w:i/>
                <w:iCs/>
                <w:color w:val="FF0000"/>
                <w:sz w:val="22"/>
                <w:szCs w:val="22"/>
              </w:rPr>
            </w:pPr>
            <w:r w:rsidRPr="008228A4">
              <w:rPr>
                <w:rFonts w:ascii="Calibri" w:eastAsia="Aptos" w:hAnsi="Calibri" w:cs="Calibri"/>
                <w:b/>
                <w:bCs/>
                <w:i/>
                <w:iCs/>
                <w:color w:val="FF0000"/>
                <w:sz w:val="22"/>
                <w:szCs w:val="22"/>
              </w:rPr>
              <w:t>Actions(s): Emergency treatment can save the life of someone experiencing heatstroke, so call 999 at the first sign of this condition and follow their instructions to safely begin cooling the worker down until an ambulance arrives.</w:t>
            </w:r>
          </w:p>
          <w:p w14:paraId="102B40B5" w14:textId="77777777" w:rsidR="008228A4" w:rsidRPr="008228A4" w:rsidRDefault="008228A4" w:rsidP="008228A4">
            <w:pPr>
              <w:rPr>
                <w:rFonts w:ascii="Calibri" w:eastAsia="Aptos" w:hAnsi="Calibri" w:cs="Calibri"/>
                <w:sz w:val="22"/>
                <w:szCs w:val="22"/>
              </w:rPr>
            </w:pPr>
          </w:p>
          <w:p w14:paraId="665E0CC9"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Heat Cramps: </w:t>
            </w:r>
            <w:r>
              <w:rPr>
                <w:rFonts w:ascii="Calibri" w:eastAsia="Aptos" w:hAnsi="Calibri" w:cs="Calibri"/>
                <w:color w:val="1F3864"/>
                <w:sz w:val="22"/>
                <w:szCs w:val="22"/>
              </w:rPr>
              <w:t>Heat cramps are muscle cramps caused specifically by the dehydrating and salt-depleting effects of hot weather. As you sweat, your muscles lose the water and salt they need to perform. Even drinking plenty of water and sports drinks will only replenish your system so quickly.</w:t>
            </w:r>
          </w:p>
          <w:p w14:paraId="411D5B3A" w14:textId="77777777" w:rsidR="008228A4" w:rsidRDefault="008228A4" w:rsidP="008228A4">
            <w:pPr>
              <w:rPr>
                <w:rFonts w:ascii="Calibri" w:eastAsia="Aptos" w:hAnsi="Calibri" w:cs="Calibri"/>
                <w:color w:val="1F3864"/>
                <w:sz w:val="22"/>
                <w:szCs w:val="22"/>
              </w:rPr>
            </w:pPr>
            <w:r>
              <w:rPr>
                <w:rFonts w:ascii="Calibri" w:eastAsia="Aptos" w:hAnsi="Calibri" w:cs="Calibri"/>
                <w:color w:val="1F3864"/>
                <w:sz w:val="22"/>
                <w:szCs w:val="22"/>
              </w:rPr>
              <w:t>Working too hard or too quickly could leave you experiencing a muscle cramp that could be dangerous in a high-pressure construction or manufacturing setting. Taking breaks may slow the workflow slightly, but it will keep work going far smoother than stopping to deal with heat exhaustion or cramps.</w:t>
            </w:r>
          </w:p>
          <w:p w14:paraId="1E41A29A" w14:textId="77777777" w:rsidR="008228A4" w:rsidRDefault="008228A4" w:rsidP="008228A4">
            <w:pPr>
              <w:rPr>
                <w:rFonts w:ascii="Calibri" w:eastAsia="Aptos" w:hAnsi="Calibri" w:cs="Calibri"/>
                <w:color w:val="1F3864"/>
                <w:sz w:val="22"/>
                <w:szCs w:val="22"/>
              </w:rPr>
            </w:pPr>
          </w:p>
          <w:p w14:paraId="5707C250"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The Importance of Clothing: </w:t>
            </w:r>
            <w:r>
              <w:rPr>
                <w:rFonts w:ascii="Calibri" w:eastAsia="Aptos" w:hAnsi="Calibri" w:cs="Calibri"/>
                <w:color w:val="1F3864"/>
                <w:sz w:val="22"/>
                <w:szCs w:val="22"/>
              </w:rPr>
              <w:t>Clothing and personal protection equipment (PPE) play a major role in HRI on the job site. Many workers adapt to the hazards or discomfort of the work by wearing long-sleeved shirts and heavily reinforced workwear. These layers all trap heat and make it harder to cool yourself while working. PPE also tends to trap heat and concentrate the risks, even when the helmets, masks, and other equipment are designed for hot weather use. It may be necessary to use more workers on shorter shifts to give everyone more breaks from wearing PPE as they rotate in and out of the work area.</w:t>
            </w:r>
          </w:p>
          <w:p w14:paraId="5FB66521" w14:textId="77777777" w:rsidR="008228A4" w:rsidRDefault="008228A4" w:rsidP="008228A4">
            <w:pPr>
              <w:rPr>
                <w:rFonts w:ascii="Calibri" w:eastAsia="Aptos" w:hAnsi="Calibri" w:cs="Calibri"/>
                <w:color w:val="1F3864"/>
                <w:sz w:val="22"/>
                <w:szCs w:val="22"/>
              </w:rPr>
            </w:pPr>
          </w:p>
          <w:p w14:paraId="73529CAB" w14:textId="77777777" w:rsidR="008228A4" w:rsidRDefault="008228A4" w:rsidP="008228A4">
            <w:pPr>
              <w:rPr>
                <w:rFonts w:ascii="Calibri" w:eastAsia="Aptos" w:hAnsi="Calibri" w:cs="Calibri"/>
                <w:color w:val="1F3864"/>
                <w:sz w:val="22"/>
                <w:szCs w:val="22"/>
              </w:rPr>
            </w:pPr>
            <w:r>
              <w:rPr>
                <w:rFonts w:ascii="Calibri" w:eastAsia="Aptos" w:hAnsi="Calibri" w:cs="Calibri"/>
                <w:b/>
                <w:bCs/>
                <w:color w:val="1F3864"/>
                <w:sz w:val="22"/>
                <w:szCs w:val="22"/>
              </w:rPr>
              <w:t xml:space="preserve">Adapting Your Work Patterns to Extreme Heat: </w:t>
            </w:r>
            <w:r>
              <w:rPr>
                <w:rFonts w:ascii="Calibri" w:eastAsia="Aptos" w:hAnsi="Calibri" w:cs="Calibri"/>
                <w:color w:val="1F3864"/>
                <w:sz w:val="22"/>
                <w:szCs w:val="22"/>
              </w:rPr>
              <w:t>Other adaptions to work patterns can greatly reduce HRI risk for construction workers. First, set up temporary shade structures or concentrate work areas in shaded areas. Don’t cut materials or assemble parts in the sun if the shade is available. Pop-up worksite cabins and offices that include air-conditioning are recommended as break areas.</w:t>
            </w:r>
          </w:p>
          <w:p w14:paraId="43514BB9" w14:textId="77777777" w:rsidR="008228A4" w:rsidRPr="008228A4" w:rsidRDefault="008228A4" w:rsidP="008228A4">
            <w:pPr>
              <w:rPr>
                <w:rFonts w:ascii="Calibri" w:eastAsia="Aptos" w:hAnsi="Calibri" w:cs="Calibri"/>
                <w:sz w:val="22"/>
                <w:szCs w:val="22"/>
              </w:rPr>
            </w:pPr>
          </w:p>
          <w:p w14:paraId="08C18645" w14:textId="20D2DEF0" w:rsidR="00C270D2" w:rsidRDefault="008228A4" w:rsidP="008228A4">
            <w:pPr>
              <w:rPr>
                <w:rFonts w:ascii="Calibri" w:eastAsia="Calibri" w:hAnsi="Calibri" w:cs="Calibri"/>
                <w:color w:val="002060"/>
                <w:sz w:val="22"/>
                <w:szCs w:val="22"/>
              </w:rPr>
            </w:pPr>
            <w:r w:rsidRPr="008228A4">
              <w:rPr>
                <w:rFonts w:ascii="Calibri" w:eastAsia="Aptos" w:hAnsi="Calibri" w:cs="Calibri"/>
                <w:b/>
                <w:bCs/>
                <w:color w:val="FF0000"/>
                <w:sz w:val="22"/>
                <w:szCs w:val="22"/>
              </w:rPr>
              <w:t>Don’t let heat stress become a silent danger on your work site. With a generous supply of water, a steady source of salt and other electrolytes, and a place to get out of the heat, construction work can safely continue through the summer.</w:t>
            </w:r>
          </w:p>
          <w:p w14:paraId="320D8FBF" w14:textId="77777777" w:rsidR="00911C9E" w:rsidRDefault="00911C9E">
            <w:pPr>
              <w:pStyle w:val="ListParagraph"/>
              <w:autoSpaceDE w:val="0"/>
              <w:autoSpaceDN w:val="0"/>
              <w:adjustRightInd w:val="0"/>
              <w:ind w:left="0"/>
              <w:jc w:val="both"/>
              <w:rPr>
                <w:rFonts w:cs="Calibri"/>
                <w:sz w:val="22"/>
                <w:szCs w:val="22"/>
              </w:rPr>
            </w:pPr>
          </w:p>
        </w:tc>
      </w:tr>
      <w:bookmarkEnd w:id="0"/>
    </w:tbl>
    <w:p w14:paraId="3DB79BDA" w14:textId="77777777" w:rsidR="004C0347" w:rsidRDefault="004C0347">
      <w:pPr>
        <w:rPr>
          <w:vanish/>
        </w:rPr>
      </w:pPr>
    </w:p>
    <w:tbl>
      <w:tblPr>
        <w:tblW w:w="0" w:type="auto"/>
        <w:tblLook w:val="04A0" w:firstRow="1" w:lastRow="0" w:firstColumn="1" w:lastColumn="0" w:noHBand="0" w:noVBand="1"/>
      </w:tblPr>
      <w:tblGrid>
        <w:gridCol w:w="10682"/>
      </w:tblGrid>
      <w:tr w:rsidR="00122873" w14:paraId="2E95C5E6" w14:textId="77777777" w:rsidTr="00685762">
        <w:tc>
          <w:tcPr>
            <w:tcW w:w="10682" w:type="dxa"/>
            <w:shd w:val="clear" w:color="auto" w:fill="auto"/>
          </w:tcPr>
          <w:p w14:paraId="37C2286E" w14:textId="6359E22E" w:rsidR="006E7342" w:rsidRDefault="006E7342" w:rsidP="00AD71A4">
            <w:pPr>
              <w:jc w:val="both"/>
              <w:rPr>
                <w:rFonts w:ascii="Calibri" w:eastAsia="Calibri" w:hAnsi="Calibri" w:cs="Calibri"/>
                <w:color w:val="002060"/>
                <w:sz w:val="22"/>
                <w:szCs w:val="22"/>
              </w:rPr>
            </w:pPr>
          </w:p>
        </w:tc>
      </w:tr>
      <w:tr w:rsidR="007C3561" w14:paraId="2CCD2FEB" w14:textId="77777777">
        <w:tc>
          <w:tcPr>
            <w:tcW w:w="10682" w:type="dxa"/>
            <w:shd w:val="clear" w:color="auto" w:fill="DEEAF6"/>
          </w:tcPr>
          <w:p w14:paraId="5FDC6582" w14:textId="36FC7023" w:rsidR="007C3561" w:rsidRDefault="007C3561" w:rsidP="007C3561">
            <w:pPr>
              <w:pStyle w:val="NoSpacing"/>
              <w:rPr>
                <w:rFonts w:cs="Calibri"/>
                <w:b/>
                <w:bCs/>
                <w:color w:val="C00000"/>
              </w:rPr>
            </w:pPr>
            <w:r>
              <w:rPr>
                <w:rFonts w:cs="Calibri"/>
                <w:b/>
                <w:bCs/>
                <w:color w:val="C00000"/>
              </w:rPr>
              <w:t xml:space="preserve">Who Does This Toolbox Talk Apply To?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McSence Group of Companies which includes the subsidiary companies - </w:t>
            </w:r>
            <w:r>
              <w:rPr>
                <w:rFonts w:ascii="Calibri" w:eastAsia="Calibri" w:hAnsi="Calibri" w:cs="Calibri"/>
                <w:i/>
                <w:iCs/>
                <w:color w:val="C00000"/>
                <w:sz w:val="22"/>
                <w:szCs w:val="22"/>
              </w:rPr>
              <w:t xml:space="preserve">McSence Communication Ltd, McSence Ltd, McSence Services Ltd &amp; McSence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This policy applies to all persons working for or on our behalf of the McSence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r>
              <w:rPr>
                <w:rFonts w:ascii="Calibri" w:eastAsia="Calibri" w:hAnsi="Calibri" w:cs="Calibri"/>
                <w:color w:val="002060"/>
                <w:sz w:val="22"/>
                <w:szCs w:val="22"/>
              </w:rPr>
              <w:t>McSence Premises, Offices, Units, Business Park, Client’s Premises, External Meeting Places, Customers’ Homes, 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blCellMar>
          <w:left w:w="0" w:type="dxa"/>
          <w:right w:w="0" w:type="dxa"/>
        </w:tblCellMar>
        <w:tblLook w:val="04A0" w:firstRow="1" w:lastRow="0" w:firstColumn="1" w:lastColumn="0" w:noHBand="0" w:noVBand="1"/>
      </w:tblPr>
      <w:tblGrid>
        <w:gridCol w:w="10598"/>
      </w:tblGrid>
      <w:tr w:rsidR="00A33A58" w:rsidRPr="00A33A58" w14:paraId="70D34A3B" w14:textId="77777777">
        <w:tc>
          <w:tcPr>
            <w:tcW w:w="10598" w:type="dxa"/>
            <w:shd w:val="clear" w:color="auto" w:fill="BDD6EE"/>
            <w:tcMar>
              <w:top w:w="0" w:type="dxa"/>
              <w:left w:w="108" w:type="dxa"/>
              <w:bottom w:w="0" w:type="dxa"/>
              <w:right w:w="108" w:type="dxa"/>
            </w:tcMar>
            <w:hideMark/>
          </w:tcPr>
          <w:p w14:paraId="2AA196BC" w14:textId="77777777" w:rsidR="00D177E6" w:rsidRPr="00A33A58" w:rsidRDefault="00D177E6" w:rsidP="00BC48CD">
            <w:pPr>
              <w:spacing w:line="276" w:lineRule="auto"/>
              <w:rPr>
                <w:rFonts w:ascii="Calibri" w:hAnsi="Calibri" w:cs="Calibri"/>
                <w:b/>
                <w:bCs/>
                <w:color w:val="C00000"/>
                <w:lang w:eastAsia="en-GB"/>
              </w:rPr>
            </w:pPr>
            <w:r w:rsidRPr="00A33A58">
              <w:rPr>
                <w:rFonts w:ascii="Calibri" w:hAnsi="Calibri" w:cs="Calibri"/>
                <w:b/>
                <w:bCs/>
                <w:i/>
                <w:iCs/>
                <w:color w:val="C00000"/>
                <w:lang w:eastAsia="en-GB"/>
              </w:rPr>
              <w:t xml:space="preserve">HSE WEBSITE – see </w:t>
            </w:r>
            <w:r w:rsidRPr="00A33A58">
              <w:rPr>
                <w:rFonts w:ascii="Calibri" w:hAnsi="Calibri" w:cs="Calibri"/>
                <w:b/>
                <w:bCs/>
                <w:color w:val="C00000"/>
                <w:lang w:eastAsia="en-GB"/>
              </w:rPr>
              <w:t>links below:</w:t>
            </w:r>
          </w:p>
          <w:p w14:paraId="1420627F" w14:textId="77777777" w:rsidR="00D177E6" w:rsidRPr="00A33A58" w:rsidRDefault="00D177E6" w:rsidP="00D41C8F">
            <w:pPr>
              <w:numPr>
                <w:ilvl w:val="0"/>
                <w:numId w:val="7"/>
              </w:numPr>
              <w:spacing w:line="252" w:lineRule="auto"/>
              <w:rPr>
                <w:rFonts w:ascii="Calibri" w:hAnsi="Calibri" w:cs="Calibri"/>
                <w:color w:val="002060"/>
                <w:lang w:val="de-DE" w:eastAsia="en-GB"/>
              </w:rPr>
            </w:pPr>
            <w:r w:rsidRPr="00A33A58">
              <w:rPr>
                <w:rFonts w:ascii="Calibri" w:hAnsi="Calibri" w:cs="Calibri"/>
                <w:b/>
                <w:bCs/>
                <w:color w:val="002060"/>
                <w:lang w:val="de-DE" w:eastAsia="en-GB"/>
              </w:rPr>
              <w:t xml:space="preserve">HSE – Asbestos Essentials - </w:t>
            </w:r>
            <w:hyperlink r:id="rId16" w:history="1">
              <w:r w:rsidRPr="00A33A58">
                <w:rPr>
                  <w:rStyle w:val="Hyperlink"/>
                  <w:rFonts w:ascii="Calibri" w:hAnsi="Calibri" w:cs="Calibri"/>
                  <w:b/>
                  <w:bCs/>
                  <w:color w:val="C00000"/>
                  <w:lang w:val="de-DE" w:eastAsia="en-GB"/>
                </w:rPr>
                <w:t>http://www.hse.gov.uk/pubns/guidance/a0.pdf</w:t>
              </w:r>
            </w:hyperlink>
            <w:r w:rsidRPr="00A33A58">
              <w:rPr>
                <w:rFonts w:ascii="Calibri" w:hAnsi="Calibri" w:cs="Calibri"/>
                <w:b/>
                <w:bCs/>
                <w:color w:val="002060"/>
                <w:lang w:val="de-DE" w:eastAsia="en-GB"/>
              </w:rPr>
              <w:t xml:space="preserve"> </w:t>
            </w:r>
          </w:p>
          <w:p w14:paraId="396F5E74" w14:textId="77777777" w:rsidR="00D177E6" w:rsidRPr="00A33A58" w:rsidRDefault="00D177E6" w:rsidP="00D41C8F">
            <w:pPr>
              <w:numPr>
                <w:ilvl w:val="0"/>
                <w:numId w:val="7"/>
              </w:numPr>
              <w:spacing w:line="252" w:lineRule="auto"/>
              <w:rPr>
                <w:rFonts w:ascii="Calibri" w:hAnsi="Calibri" w:cs="Calibri"/>
                <w:color w:val="C00000"/>
                <w:lang w:val="it-IT" w:eastAsia="en-GB"/>
              </w:rPr>
            </w:pPr>
            <w:r w:rsidRPr="00A33A58">
              <w:rPr>
                <w:rFonts w:ascii="Calibri" w:hAnsi="Calibri" w:cs="Calibri"/>
                <w:b/>
                <w:bCs/>
                <w:color w:val="002060"/>
                <w:lang w:val="it-IT" w:eastAsia="en-GB"/>
              </w:rPr>
              <w:t xml:space="preserve">HSE – COSHH - </w:t>
            </w:r>
            <w:hyperlink r:id="rId17" w:history="1">
              <w:r w:rsidRPr="00A33A58">
                <w:rPr>
                  <w:rStyle w:val="Hyperlink"/>
                  <w:rFonts w:ascii="Calibri" w:hAnsi="Calibri" w:cs="Calibri"/>
                  <w:b/>
                  <w:bCs/>
                  <w:color w:val="C00000"/>
                  <w:lang w:val="it-IT" w:eastAsia="en-GB"/>
                </w:rPr>
                <w:t>https://www.hse.gov.uk/coshh/basics/whatdo.htm</w:t>
              </w:r>
            </w:hyperlink>
          </w:p>
          <w:p w14:paraId="00876A73"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 xml:space="preserve">HSE – Lifting Equipment at Work </w:t>
            </w:r>
            <w:hyperlink r:id="rId18" w:history="1">
              <w:r w:rsidRPr="00A33A58">
                <w:rPr>
                  <w:rStyle w:val="Hyperlink"/>
                  <w:rFonts w:ascii="Calibri" w:hAnsi="Calibri" w:cs="Calibri"/>
                  <w:b/>
                  <w:bCs/>
                  <w:color w:val="C00000"/>
                  <w:lang w:eastAsia="en-GB"/>
                </w:rPr>
                <w:t>http://www.hse.gov.uk/pubns/indg290.htm</w:t>
              </w:r>
            </w:hyperlink>
            <w:r w:rsidRPr="00A33A58">
              <w:rPr>
                <w:rFonts w:ascii="Calibri" w:hAnsi="Calibri" w:cs="Calibri"/>
                <w:b/>
                <w:bCs/>
                <w:color w:val="002060"/>
                <w:lang w:eastAsia="en-GB"/>
              </w:rPr>
              <w:t xml:space="preserve"> </w:t>
            </w:r>
          </w:p>
          <w:p w14:paraId="660B7D3D" w14:textId="535671A8"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lang w:eastAsia="en-GB"/>
              </w:rPr>
              <w:t>HSE – Manual Handling at Work</w:t>
            </w:r>
            <w:r w:rsidR="00A33A58">
              <w:rPr>
                <w:rFonts w:ascii="Calibri" w:hAnsi="Calibri" w:cs="Calibri"/>
                <w:b/>
                <w:bCs/>
                <w:color w:val="002060"/>
                <w:lang w:eastAsia="en-GB"/>
              </w:rPr>
              <w:t xml:space="preserve">: </w:t>
            </w:r>
            <w:hyperlink r:id="rId19" w:history="1">
              <w:r w:rsidRPr="00A33A58">
                <w:rPr>
                  <w:rStyle w:val="Hyperlink"/>
                  <w:rFonts w:ascii="Calibri" w:hAnsi="Calibri" w:cs="Calibri"/>
                  <w:b/>
                  <w:bCs/>
                  <w:color w:val="C00000"/>
                  <w:lang w:eastAsia="en-GB"/>
                </w:rPr>
                <w:t>http://www.hse.gov.uk/pubns/indg143.htm</w:t>
              </w:r>
            </w:hyperlink>
            <w:r w:rsidRPr="00A33A58">
              <w:rPr>
                <w:rFonts w:ascii="Calibri" w:hAnsi="Calibri" w:cs="Calibri"/>
                <w:b/>
                <w:bCs/>
                <w:color w:val="C00000"/>
                <w:lang w:eastAsia="en-GB"/>
              </w:rPr>
              <w:t xml:space="preserve"> </w:t>
            </w:r>
          </w:p>
          <w:p w14:paraId="61D08798" w14:textId="77777777"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rPr>
              <w:t xml:space="preserve">HSE – Needlestick - </w:t>
            </w:r>
            <w:hyperlink r:id="rId20" w:history="1">
              <w:r w:rsidRPr="00A33A58">
                <w:rPr>
                  <w:rStyle w:val="Hyperlink"/>
                  <w:rFonts w:ascii="Calibri" w:hAnsi="Calibri" w:cs="Calibri"/>
                  <w:b/>
                  <w:bCs/>
                  <w:color w:val="C00000"/>
                </w:rPr>
                <w:t>Sharps injuries - What you need to do (hse.gov.uk)</w:t>
              </w:r>
            </w:hyperlink>
          </w:p>
          <w:p w14:paraId="17EEAFE2"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HSE – Painting &amp; Coatings</w:t>
            </w:r>
            <w:r w:rsidRPr="00A33A58">
              <w:rPr>
                <w:rFonts w:ascii="Calibri" w:hAnsi="Calibri" w:cs="Calibri"/>
                <w:color w:val="002060"/>
                <w:lang w:eastAsia="en-GB"/>
              </w:rPr>
              <w:t xml:space="preserve"> </w:t>
            </w:r>
            <w:hyperlink r:id="rId21" w:history="1">
              <w:r w:rsidRPr="00A33A58">
                <w:rPr>
                  <w:rStyle w:val="Hyperlink"/>
                  <w:rFonts w:ascii="Calibri" w:hAnsi="Calibri" w:cs="Calibri"/>
                  <w:b/>
                  <w:bCs/>
                  <w:color w:val="C00000"/>
                </w:rPr>
                <w:t>Frequently asked questions – Paint and coatings (hse.gov.uk)</w:t>
              </w:r>
            </w:hyperlink>
          </w:p>
          <w:p w14:paraId="3ADE2687"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C00000"/>
                <w:lang w:eastAsia="en-GB"/>
              </w:rPr>
            </w:pPr>
            <w:r w:rsidRPr="00A33A58">
              <w:rPr>
                <w:rFonts w:ascii="Calibri" w:hAnsi="Calibri" w:cs="Calibri"/>
                <w:b/>
                <w:bCs/>
                <w:color w:val="002060"/>
                <w:lang w:eastAsia="en-GB"/>
              </w:rPr>
              <w:t xml:space="preserve">HSE – Slips, Trips &amp; Falls </w:t>
            </w:r>
            <w:hyperlink r:id="rId22" w:history="1">
              <w:r w:rsidRPr="00A33A58">
                <w:rPr>
                  <w:rStyle w:val="Hyperlink"/>
                  <w:rFonts w:ascii="Calibri" w:hAnsi="Calibri" w:cs="Calibri"/>
                  <w:b/>
                  <w:bCs/>
                  <w:color w:val="C00000"/>
                  <w:lang w:eastAsia="en-GB"/>
                </w:rPr>
                <w:t>http://www.hse.gov.uk/toolbox/slips.htm</w:t>
              </w:r>
            </w:hyperlink>
            <w:r w:rsidRPr="00A33A58">
              <w:rPr>
                <w:rFonts w:ascii="Calibri" w:hAnsi="Calibri" w:cs="Calibri"/>
                <w:color w:val="C00000"/>
                <w:lang w:eastAsia="en-GB"/>
              </w:rPr>
              <w:t xml:space="preserve"> </w:t>
            </w:r>
          </w:p>
          <w:p w14:paraId="7778D012"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002060"/>
                <w:lang w:eastAsia="en-GB"/>
              </w:rPr>
            </w:pPr>
            <w:r w:rsidRPr="00A33A58">
              <w:rPr>
                <w:rFonts w:ascii="Calibri" w:hAnsi="Calibri" w:cs="Calibri"/>
                <w:b/>
                <w:bCs/>
                <w:color w:val="002060"/>
                <w:lang w:eastAsia="en-GB"/>
              </w:rPr>
              <w:t xml:space="preserve">HSE – Working at Height/Ladders </w:t>
            </w:r>
            <w:hyperlink r:id="rId23" w:history="1">
              <w:r w:rsidRPr="00A33A58">
                <w:rPr>
                  <w:rStyle w:val="Hyperlink"/>
                  <w:rFonts w:ascii="Calibri" w:hAnsi="Calibri" w:cs="Calibri"/>
                  <w:b/>
                  <w:bCs/>
                  <w:color w:val="C00000"/>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blCellMar>
          <w:left w:w="0" w:type="dxa"/>
          <w:right w:w="0" w:type="dxa"/>
        </w:tblCellMar>
        <w:tblLook w:val="04A0" w:firstRow="1" w:lastRow="0" w:firstColumn="1" w:lastColumn="0" w:noHBand="0" w:noVBand="1"/>
      </w:tblPr>
      <w:tblGrid>
        <w:gridCol w:w="2542"/>
        <w:gridCol w:w="8032"/>
      </w:tblGrid>
      <w:tr w:rsidR="00A33A58" w:rsidRPr="00A33A58" w14:paraId="3FDB0162" w14:textId="77777777">
        <w:tc>
          <w:tcPr>
            <w:tcW w:w="2542" w:type="dxa"/>
            <w:shd w:val="clear" w:color="auto" w:fill="9CC2E5"/>
            <w:tcMar>
              <w:top w:w="0" w:type="dxa"/>
              <w:left w:w="108" w:type="dxa"/>
              <w:bottom w:w="0" w:type="dxa"/>
              <w:right w:w="108" w:type="dxa"/>
            </w:tcMar>
          </w:tcPr>
          <w:p w14:paraId="5E126634" w14:textId="77777777" w:rsidR="00C541D4" w:rsidRPr="00A33A58" w:rsidRDefault="00C541D4" w:rsidP="00D437A3">
            <w:pPr>
              <w:spacing w:line="276" w:lineRule="auto"/>
              <w:ind w:left="360"/>
              <w:rPr>
                <w:rFonts w:ascii="Calibri" w:hAnsi="Calibri" w:cs="Calibri"/>
                <w:noProof/>
                <w:color w:val="002060"/>
                <w:sz w:val="12"/>
                <w:szCs w:val="12"/>
              </w:rPr>
            </w:pPr>
          </w:p>
          <w:p w14:paraId="02E7CEE8" w14:textId="77777777" w:rsidR="00C541D4" w:rsidRPr="00A33A58" w:rsidRDefault="00000000" w:rsidP="00D437A3">
            <w:pPr>
              <w:spacing w:line="276" w:lineRule="auto"/>
              <w:ind w:left="360"/>
              <w:jc w:val="center"/>
              <w:rPr>
                <w:rFonts w:ascii="Calibri" w:hAnsi="Calibri" w:cs="Calibri"/>
                <w:color w:val="002060"/>
              </w:rPr>
            </w:pPr>
            <w:r>
              <w:rPr>
                <w:rFonts w:ascii="Calibri" w:hAnsi="Calibri" w:cs="Calibri"/>
                <w:noProof/>
                <w:color w:val="002060"/>
              </w:rPr>
              <w:pict w14:anchorId="6E8421D2">
                <v:shape id="_x0000_i1027" type="#_x0000_t75" alt="Qr code&#10;&#10;Description automatically generated" style="width:97.2pt;height:97.2pt;visibility:visible;mso-wrap-style:square">
                  <v:imagedata r:id="rId24" o:title="Qr code&#10;&#10;Description automatically generated"/>
                </v:shape>
              </w:pict>
            </w:r>
          </w:p>
        </w:tc>
        <w:tc>
          <w:tcPr>
            <w:tcW w:w="8056" w:type="dxa"/>
            <w:shd w:val="clear" w:color="auto" w:fill="9CC2E5"/>
            <w:hideMark/>
          </w:tcPr>
          <w:p w14:paraId="11F950FB" w14:textId="77777777" w:rsidR="00C541D4" w:rsidRPr="00A33A58" w:rsidRDefault="00C541D4" w:rsidP="00D437A3">
            <w:pPr>
              <w:spacing w:line="276" w:lineRule="auto"/>
              <w:ind w:left="360"/>
              <w:rPr>
                <w:rFonts w:ascii="Calibri" w:hAnsi="Calibri" w:cs="Calibri"/>
                <w:color w:val="002060"/>
              </w:rPr>
            </w:pPr>
            <w:r w:rsidRPr="00A33A58">
              <w:rPr>
                <w:rFonts w:ascii="Calibri" w:hAnsi="Calibri" w:cs="Calibri"/>
                <w:b/>
                <w:bCs/>
                <w:color w:val="002060"/>
                <w:u w:val="single"/>
              </w:rPr>
              <w:t>STAFF ZONE</w:t>
            </w:r>
            <w:r w:rsidRPr="00A33A58">
              <w:rPr>
                <w:rFonts w:ascii="Calibri" w:hAnsi="Calibri" w:cs="Calibri"/>
                <w:b/>
                <w:bCs/>
                <w:color w:val="002060"/>
              </w:rPr>
              <w:t xml:space="preserve"> </w:t>
            </w:r>
            <w:r w:rsidRPr="00A33A58">
              <w:rPr>
                <w:rFonts w:ascii="Calibri" w:hAnsi="Calibri" w:cs="Calibri"/>
                <w:color w:val="002060"/>
              </w:rPr>
              <w:t xml:space="preserve">is our bespoke intranet for McSence colleagues with company information in one place where you if you click this link </w:t>
            </w:r>
            <w:hyperlink r:id="rId25" w:history="1">
              <w:r w:rsidRPr="00A33A58">
                <w:rPr>
                  <w:rStyle w:val="Hyperlink"/>
                  <w:rFonts w:ascii="Calibri" w:hAnsi="Calibri" w:cs="Calibri"/>
                  <w:color w:val="002060"/>
                </w:rPr>
                <w:t>McSence | Home | McSence</w:t>
              </w:r>
            </w:hyperlink>
            <w:r w:rsidRPr="00A33A58">
              <w:rPr>
                <w:rFonts w:ascii="Calibri" w:hAnsi="Calibri" w:cs="Calibri"/>
                <w:color w:val="002060"/>
              </w:rPr>
              <w:t xml:space="preserve"> and enter passcode is </w:t>
            </w:r>
            <w:r w:rsidRPr="00A33A58">
              <w:rPr>
                <w:rFonts w:ascii="Calibri" w:hAnsi="Calibri" w:cs="Calibri"/>
                <w:b/>
                <w:bCs/>
                <w:color w:val="002060"/>
                <w:u w:val="single"/>
              </w:rPr>
              <w:t>staffzone123</w:t>
            </w:r>
            <w:r w:rsidRPr="00A33A58">
              <w:rPr>
                <w:rFonts w:ascii="Calibri" w:hAnsi="Calibri" w:cs="Calibri"/>
                <w:b/>
                <w:bCs/>
                <w:color w:val="002060"/>
              </w:rPr>
              <w:t xml:space="preserve"> </w:t>
            </w:r>
            <w:r w:rsidRPr="00A33A58">
              <w:rPr>
                <w:rFonts w:ascii="Calibri" w:hAnsi="Calibri" w:cs="Calibri"/>
                <w:color w:val="002060"/>
              </w:rPr>
              <w:t>it will take you to the following company information as follows:</w:t>
            </w:r>
          </w:p>
          <w:p w14:paraId="24A47797" w14:textId="77777777" w:rsidR="00C541D4" w:rsidRPr="00A33A58" w:rsidRDefault="00C541D4" w:rsidP="00D437A3">
            <w:pPr>
              <w:pStyle w:val="ListParagraph"/>
              <w:numPr>
                <w:ilvl w:val="0"/>
                <w:numId w:val="8"/>
              </w:numPr>
              <w:spacing w:line="276" w:lineRule="auto"/>
              <w:rPr>
                <w:rFonts w:cs="Calibri"/>
                <w:color w:val="002060"/>
              </w:rPr>
            </w:pPr>
            <w:r w:rsidRPr="00A33A58">
              <w:rPr>
                <w:color w:val="002060"/>
              </w:rPr>
              <w:t xml:space="preserve">Company Handbooks </w:t>
            </w:r>
            <w:hyperlink r:id="rId26" w:history="1">
              <w:r w:rsidRPr="00A33A58">
                <w:rPr>
                  <w:rStyle w:val="Hyperlink"/>
                  <w:color w:val="002060"/>
                </w:rPr>
                <w:t>McSence Handbooks | McSence</w:t>
              </w:r>
            </w:hyperlink>
          </w:p>
          <w:p w14:paraId="548CB47F"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Company Policies: </w:t>
            </w:r>
            <w:hyperlink r:id="rId27" w:history="1">
              <w:r w:rsidRPr="00A33A58">
                <w:rPr>
                  <w:rStyle w:val="Hyperlink"/>
                  <w:color w:val="002060"/>
                </w:rPr>
                <w:t>McSence Policies | McSence</w:t>
              </w:r>
            </w:hyperlink>
          </w:p>
          <w:p w14:paraId="34F54168"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Health &amp; Safety: </w:t>
            </w:r>
            <w:hyperlink r:id="rId28" w:history="1">
              <w:r w:rsidRPr="00A33A58">
                <w:rPr>
                  <w:rStyle w:val="Hyperlink"/>
                  <w:color w:val="002060"/>
                </w:rPr>
                <w:t>McSence Health &amp; Safety Information | McSence</w:t>
              </w:r>
            </w:hyperlink>
          </w:p>
        </w:tc>
      </w:tr>
    </w:tbl>
    <w:p w14:paraId="09F32A9C" w14:textId="100C7862" w:rsidR="00576189" w:rsidRDefault="00576189" w:rsidP="00576189">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29F40CDD" w14:textId="18511CD8" w:rsidR="00D152EC" w:rsidRDefault="00D152EC" w:rsidP="00D152EC">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29" w:history="1">
        <w:r w:rsidRPr="00D152EC">
          <w:rPr>
            <w:rFonts w:ascii="Calibri" w:hAnsi="Calibri" w:cs="Calibri"/>
            <w:color w:val="0000FF"/>
            <w:sz w:val="22"/>
            <w:szCs w:val="22"/>
            <w:u w:val="single"/>
          </w:rPr>
          <w:t>Login | McSence</w:t>
        </w:r>
      </w:hyperlink>
    </w:p>
    <w:p w14:paraId="129E4418" w14:textId="77777777" w:rsidR="00D152EC" w:rsidRDefault="00D152EC" w:rsidP="00D152EC">
      <w:pPr>
        <w:rPr>
          <w:rFonts w:ascii="Calibri" w:hAnsi="Calibri" w:cs="Calibri"/>
          <w:sz w:val="22"/>
          <w:szCs w:val="22"/>
        </w:rPr>
      </w:pPr>
    </w:p>
    <w:p w14:paraId="5CA6FCF9" w14:textId="0DAC2568" w:rsidR="00D152EC" w:rsidRPr="00246DBF" w:rsidRDefault="00D152EC" w:rsidP="00D152EC">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w:t>
      </w:r>
      <w:r w:rsidR="00E924A7">
        <w:rPr>
          <w:rFonts w:ascii="Calibri" w:hAnsi="Calibri" w:cs="Calibri"/>
          <w:color w:val="C00000"/>
          <w:sz w:val="22"/>
          <w:szCs w:val="22"/>
        </w:rPr>
        <w:t xml:space="preserve"> Virtual</w:t>
      </w:r>
      <w:r w:rsidRPr="00246DBF">
        <w:rPr>
          <w:rFonts w:ascii="Calibri" w:hAnsi="Calibri" w:cs="Calibri"/>
          <w:color w:val="C00000"/>
          <w:sz w:val="22"/>
          <w:szCs w:val="22"/>
        </w:rPr>
        <w:t xml:space="preserve"> </w:t>
      </w:r>
      <w:r w:rsidR="006F407B">
        <w:rPr>
          <w:rFonts w:ascii="Calibri" w:hAnsi="Calibri" w:cs="Calibri"/>
          <w:color w:val="C00000"/>
          <w:sz w:val="22"/>
          <w:szCs w:val="22"/>
        </w:rPr>
        <w:t xml:space="preserve">Toolbox Talk </w:t>
      </w:r>
      <w:r w:rsidRPr="00246DBF">
        <w:rPr>
          <w:rFonts w:ascii="Calibri" w:hAnsi="Calibri" w:cs="Calibri"/>
          <w:color w:val="C00000"/>
          <w:sz w:val="22"/>
          <w:szCs w:val="22"/>
        </w:rPr>
        <w:t>may result in Disciplinary proceedings.</w:t>
      </w:r>
    </w:p>
    <w:p w14:paraId="21A7DC4B" w14:textId="77777777" w:rsidR="000622F9" w:rsidRDefault="000622F9" w:rsidP="00D152EC">
      <w:pPr>
        <w:pStyle w:val="ListParagraph"/>
        <w:autoSpaceDE w:val="0"/>
        <w:autoSpaceDN w:val="0"/>
        <w:adjustRightInd w:val="0"/>
        <w:ind w:left="0"/>
        <w:jc w:val="both"/>
        <w:rPr>
          <w:rFonts w:cs="Calibri"/>
          <w:b/>
          <w:color w:val="002060"/>
          <w:sz w:val="22"/>
          <w:szCs w:val="22"/>
        </w:rPr>
      </w:pPr>
    </w:p>
    <w:p w14:paraId="27FB68BA" w14:textId="783B9AA0" w:rsidR="00D152EC" w:rsidRPr="00175E78" w:rsidRDefault="00D152EC" w:rsidP="00D152EC">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McSence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r w:rsidRPr="00604ED5">
        <w:rPr>
          <w:rFonts w:eastAsia="Calibri" w:cs="Calibri"/>
          <w:i/>
          <w:iCs/>
          <w:color w:val="C00000"/>
          <w:sz w:val="22"/>
          <w:szCs w:val="22"/>
        </w:rPr>
        <w:t>McSence Communication Ltd, McSence Ltd, McSence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McSence Workspace Ltd</w:t>
      </w:r>
    </w:p>
    <w:p w14:paraId="72ED7E2F" w14:textId="77777777" w:rsidR="00D152EC" w:rsidRPr="004C5965" w:rsidRDefault="00D152EC" w:rsidP="00D152EC">
      <w:pPr>
        <w:pStyle w:val="ListParagraph"/>
        <w:autoSpaceDE w:val="0"/>
        <w:autoSpaceDN w:val="0"/>
        <w:adjustRightInd w:val="0"/>
        <w:spacing w:after="240"/>
        <w:ind w:left="0"/>
        <w:jc w:val="both"/>
        <w:rPr>
          <w:rFonts w:cs="Calibri"/>
          <w:bCs/>
          <w:color w:val="0070C0"/>
          <w:sz w:val="22"/>
          <w:szCs w:val="22"/>
          <w:u w:val="single"/>
          <w:lang w:val="it-IT"/>
        </w:rPr>
      </w:pPr>
      <w:r w:rsidRPr="004C5965">
        <w:rPr>
          <w:rFonts w:cs="Calibri"/>
          <w:b/>
          <w:color w:val="C00000"/>
          <w:sz w:val="22"/>
          <w:szCs w:val="22"/>
          <w:lang w:val="it-IT"/>
        </w:rPr>
        <w:t>T:</w:t>
      </w:r>
      <w:r w:rsidRPr="004C5965">
        <w:rPr>
          <w:rFonts w:cs="Calibri"/>
          <w:b/>
          <w:color w:val="002060"/>
          <w:sz w:val="22"/>
          <w:szCs w:val="22"/>
          <w:lang w:val="it-IT"/>
        </w:rPr>
        <w:t xml:space="preserve"> 0131 454 1500</w:t>
      </w:r>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E:</w:t>
      </w:r>
      <w:r w:rsidRPr="004C5965">
        <w:rPr>
          <w:rFonts w:cs="Calibri"/>
          <w:b/>
          <w:color w:val="002060"/>
          <w:sz w:val="22"/>
          <w:szCs w:val="22"/>
          <w:lang w:val="it-IT"/>
        </w:rPr>
        <w:t xml:space="preserve"> </w:t>
      </w:r>
      <w:hyperlink r:id="rId30" w:history="1">
        <w:r w:rsidRPr="004C5965">
          <w:rPr>
            <w:rStyle w:val="Hyperlink"/>
            <w:rFonts w:cs="Calibri"/>
            <w:bCs/>
            <w:color w:val="0070C0"/>
            <w:sz w:val="22"/>
            <w:szCs w:val="22"/>
            <w:lang w:val="it-IT"/>
          </w:rPr>
          <w:t>mail@mcsence.co.uk</w:t>
        </w:r>
      </w:hyperlink>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W:</w:t>
      </w:r>
      <w:r w:rsidRPr="004C5965">
        <w:rPr>
          <w:rFonts w:cs="Calibri"/>
          <w:bCs/>
          <w:color w:val="002060"/>
          <w:sz w:val="22"/>
          <w:szCs w:val="22"/>
          <w:lang w:val="it-IT"/>
        </w:rPr>
        <w:t xml:space="preserve"> </w:t>
      </w:r>
      <w:hyperlink r:id="rId31" w:history="1">
        <w:r w:rsidRPr="004C5965">
          <w:rPr>
            <w:rStyle w:val="Hyperlink"/>
            <w:rFonts w:cs="Calibri"/>
            <w:bCs/>
            <w:color w:val="0070C0"/>
            <w:sz w:val="22"/>
            <w:szCs w:val="22"/>
            <w:lang w:val="it-IT"/>
          </w:rPr>
          <w:t>www.mcsence.co.uk</w:t>
        </w:r>
      </w:hyperlink>
      <w:r w:rsidRPr="004C5965">
        <w:rPr>
          <w:rFonts w:cs="Calibri"/>
          <w:bCs/>
          <w:color w:val="002060"/>
          <w:sz w:val="22"/>
          <w:szCs w:val="22"/>
          <w:lang w:val="it-IT"/>
        </w:rPr>
        <w:t xml:space="preserve"> </w:t>
      </w:r>
      <w:r w:rsidRPr="004C5965">
        <w:rPr>
          <w:rFonts w:cs="Calibri"/>
          <w:b/>
          <w:color w:val="C00000"/>
          <w:sz w:val="22"/>
          <w:szCs w:val="22"/>
          <w:lang w:val="it-IT"/>
        </w:rPr>
        <w:t>| FB:</w:t>
      </w:r>
      <w:r w:rsidRPr="004C5965">
        <w:rPr>
          <w:rFonts w:cs="Calibri"/>
          <w:bCs/>
          <w:color w:val="C00000"/>
          <w:sz w:val="22"/>
          <w:szCs w:val="22"/>
          <w:lang w:val="it-IT"/>
        </w:rPr>
        <w:t xml:space="preserve"> </w:t>
      </w:r>
      <w:r w:rsidRPr="004C5965">
        <w:rPr>
          <w:rFonts w:cs="Calibri"/>
          <w:bCs/>
          <w:color w:val="0070C0"/>
          <w:sz w:val="22"/>
          <w:szCs w:val="22"/>
          <w:u w:val="single"/>
          <w:lang w:val="it-IT"/>
        </w:rPr>
        <w:t>www.facebook.com/McSenceGroup</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32"/>
      <w:headerReference w:type="default" r:id="rId33"/>
      <w:footerReference w:type="default" r:id="rId34"/>
      <w:headerReference w:type="first" r:id="rId35"/>
      <w:footerReference w:type="first" r:id="rId3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A8A5" w14:textId="77777777" w:rsidR="004E2B0C" w:rsidRDefault="004E2B0C" w:rsidP="00A62DCC">
      <w:r>
        <w:separator/>
      </w:r>
    </w:p>
  </w:endnote>
  <w:endnote w:type="continuationSeparator" w:id="0">
    <w:p w14:paraId="5FBFDF38" w14:textId="77777777" w:rsidR="004E2B0C" w:rsidRDefault="004E2B0C" w:rsidP="00A62DCC">
      <w:r>
        <w:continuationSeparator/>
      </w:r>
    </w:p>
  </w:endnote>
  <w:endnote w:type="continuationNotice" w:id="1">
    <w:p w14:paraId="51F49AF7" w14:textId="77777777" w:rsidR="004E2B0C" w:rsidRDefault="004E2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6456FE69"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3C6A884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8A8F" w14:textId="77777777" w:rsidR="004E2B0C" w:rsidRDefault="004E2B0C" w:rsidP="00A62DCC">
      <w:r>
        <w:separator/>
      </w:r>
    </w:p>
  </w:footnote>
  <w:footnote w:type="continuationSeparator" w:id="0">
    <w:p w14:paraId="4F48D46C" w14:textId="77777777" w:rsidR="004E2B0C" w:rsidRDefault="004E2B0C" w:rsidP="00A62DCC">
      <w:r>
        <w:continuationSeparator/>
      </w:r>
    </w:p>
  </w:footnote>
  <w:footnote w:type="continuationNotice" w:id="1">
    <w:p w14:paraId="78619881" w14:textId="77777777" w:rsidR="004E2B0C" w:rsidRDefault="004E2B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0000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0000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1;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00000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65977DF"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61403B">
            <w:rPr>
              <w:rFonts w:ascii="Calibri" w:hAnsi="Calibri" w:cs="Calibri"/>
              <w:b/>
              <w:bCs/>
              <w:color w:val="FFFFFF"/>
              <w:sz w:val="32"/>
              <w:szCs w:val="32"/>
            </w:rPr>
            <w:t>Heat Stress</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000000"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3;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2036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151494" o:spid="_x0000_i1025" type="#_x0000_t75" style="width:14.4pt;height:14.4pt;visibility:visible;mso-wrap-style:square">
            <v:imagedata r:id="rId1" o:title=""/>
          </v:shape>
        </w:pict>
      </mc:Choice>
      <mc:Fallback>
        <w:drawing>
          <wp:inline distT="0" distB="0" distL="0" distR="0" wp14:anchorId="428C5BE5" wp14:editId="1DAE2667">
            <wp:extent cx="182880" cy="182880"/>
            <wp:effectExtent l="0" t="0" r="0" b="0"/>
            <wp:docPr id="167151494" name="Picture 16715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4023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0263333D"/>
    <w:multiLevelType w:val="multilevel"/>
    <w:tmpl w:val="B4F840DA"/>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E112011"/>
    <w:multiLevelType w:val="multilevel"/>
    <w:tmpl w:val="C90430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D12532"/>
    <w:multiLevelType w:val="multilevel"/>
    <w:tmpl w:val="B372B092"/>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22080C"/>
    <w:multiLevelType w:val="multilevel"/>
    <w:tmpl w:val="66E6248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14A7B31"/>
    <w:multiLevelType w:val="multilevel"/>
    <w:tmpl w:val="CA187E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1"/>
  </w:num>
  <w:num w:numId="2" w16cid:durableId="315956468">
    <w:abstractNumId w:val="12"/>
  </w:num>
  <w:num w:numId="3" w16cid:durableId="89086445">
    <w:abstractNumId w:val="2"/>
  </w:num>
  <w:num w:numId="4" w16cid:durableId="1401634720">
    <w:abstractNumId w:val="4"/>
  </w:num>
  <w:num w:numId="5" w16cid:durableId="2053261576">
    <w:abstractNumId w:val="3"/>
  </w:num>
  <w:num w:numId="6" w16cid:durableId="920678888">
    <w:abstractNumId w:val="7"/>
  </w:num>
  <w:num w:numId="7" w16cid:durableId="1901671091">
    <w:abstractNumId w:val="9"/>
  </w:num>
  <w:num w:numId="8" w16cid:durableId="699355832">
    <w:abstractNumId w:val="8"/>
  </w:num>
  <w:num w:numId="9" w16cid:durableId="1035739554">
    <w:abstractNumId w:val="1"/>
  </w:num>
  <w:num w:numId="10" w16cid:durableId="565647363">
    <w:abstractNumId w:val="10"/>
  </w:num>
  <w:num w:numId="11" w16cid:durableId="1444421365">
    <w:abstractNumId w:val="0"/>
  </w:num>
  <w:num w:numId="12" w16cid:durableId="2004116861">
    <w:abstractNumId w:val="6"/>
  </w:num>
  <w:num w:numId="13" w16cid:durableId="5140748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4D23"/>
    <w:rsid w:val="001A5F0F"/>
    <w:rsid w:val="001B11E2"/>
    <w:rsid w:val="001B3560"/>
    <w:rsid w:val="001C7E9F"/>
    <w:rsid w:val="001D773E"/>
    <w:rsid w:val="001D7CC4"/>
    <w:rsid w:val="001E2A33"/>
    <w:rsid w:val="001F0821"/>
    <w:rsid w:val="001F214D"/>
    <w:rsid w:val="001F472D"/>
    <w:rsid w:val="001F476B"/>
    <w:rsid w:val="001F6A60"/>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9670D"/>
    <w:rsid w:val="002A138E"/>
    <w:rsid w:val="002A1E5E"/>
    <w:rsid w:val="002A4FFB"/>
    <w:rsid w:val="002C2D74"/>
    <w:rsid w:val="002D101A"/>
    <w:rsid w:val="002D56FF"/>
    <w:rsid w:val="002D59A7"/>
    <w:rsid w:val="002D5DFE"/>
    <w:rsid w:val="002E27C5"/>
    <w:rsid w:val="002E2CAE"/>
    <w:rsid w:val="002E40C9"/>
    <w:rsid w:val="002E4991"/>
    <w:rsid w:val="002F0A9A"/>
    <w:rsid w:val="002F449E"/>
    <w:rsid w:val="002F4945"/>
    <w:rsid w:val="002F5BC5"/>
    <w:rsid w:val="002F79E4"/>
    <w:rsid w:val="00300055"/>
    <w:rsid w:val="00301A93"/>
    <w:rsid w:val="00302129"/>
    <w:rsid w:val="00302C91"/>
    <w:rsid w:val="00304856"/>
    <w:rsid w:val="00316539"/>
    <w:rsid w:val="00323050"/>
    <w:rsid w:val="00323237"/>
    <w:rsid w:val="00326E32"/>
    <w:rsid w:val="0032782A"/>
    <w:rsid w:val="00345C7D"/>
    <w:rsid w:val="00347C37"/>
    <w:rsid w:val="00366A38"/>
    <w:rsid w:val="003712B9"/>
    <w:rsid w:val="003716DE"/>
    <w:rsid w:val="003723B6"/>
    <w:rsid w:val="0038113F"/>
    <w:rsid w:val="003821E7"/>
    <w:rsid w:val="003868AD"/>
    <w:rsid w:val="00387AD4"/>
    <w:rsid w:val="00391AC4"/>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309C1"/>
    <w:rsid w:val="0043665C"/>
    <w:rsid w:val="004377A4"/>
    <w:rsid w:val="00440882"/>
    <w:rsid w:val="00444D9D"/>
    <w:rsid w:val="0044754D"/>
    <w:rsid w:val="00451819"/>
    <w:rsid w:val="00456778"/>
    <w:rsid w:val="00462C62"/>
    <w:rsid w:val="004662EC"/>
    <w:rsid w:val="00487FA0"/>
    <w:rsid w:val="0049179D"/>
    <w:rsid w:val="004924CA"/>
    <w:rsid w:val="00492FFA"/>
    <w:rsid w:val="00493802"/>
    <w:rsid w:val="00493BD7"/>
    <w:rsid w:val="004B4C5E"/>
    <w:rsid w:val="004B5D1D"/>
    <w:rsid w:val="004C0347"/>
    <w:rsid w:val="004C3C54"/>
    <w:rsid w:val="004C5042"/>
    <w:rsid w:val="004C5965"/>
    <w:rsid w:val="004D372C"/>
    <w:rsid w:val="004D789F"/>
    <w:rsid w:val="004E2B0C"/>
    <w:rsid w:val="004E31C2"/>
    <w:rsid w:val="004F7B14"/>
    <w:rsid w:val="00501BFF"/>
    <w:rsid w:val="005043C1"/>
    <w:rsid w:val="00524BF3"/>
    <w:rsid w:val="005333A7"/>
    <w:rsid w:val="00533A63"/>
    <w:rsid w:val="00535060"/>
    <w:rsid w:val="005450BD"/>
    <w:rsid w:val="0054700E"/>
    <w:rsid w:val="00547150"/>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364D"/>
    <w:rsid w:val="00604B3A"/>
    <w:rsid w:val="00604ED5"/>
    <w:rsid w:val="0061266A"/>
    <w:rsid w:val="006130EA"/>
    <w:rsid w:val="006133CB"/>
    <w:rsid w:val="0061403B"/>
    <w:rsid w:val="0061684E"/>
    <w:rsid w:val="006372D4"/>
    <w:rsid w:val="00644EF9"/>
    <w:rsid w:val="00644F39"/>
    <w:rsid w:val="00647E08"/>
    <w:rsid w:val="0065162C"/>
    <w:rsid w:val="00654401"/>
    <w:rsid w:val="00654816"/>
    <w:rsid w:val="00657745"/>
    <w:rsid w:val="0066223E"/>
    <w:rsid w:val="006623AE"/>
    <w:rsid w:val="0066659C"/>
    <w:rsid w:val="0066667E"/>
    <w:rsid w:val="00667575"/>
    <w:rsid w:val="00685762"/>
    <w:rsid w:val="006873B4"/>
    <w:rsid w:val="0069740A"/>
    <w:rsid w:val="006A0C80"/>
    <w:rsid w:val="006A1EEC"/>
    <w:rsid w:val="006A2644"/>
    <w:rsid w:val="006A4CD3"/>
    <w:rsid w:val="006A7018"/>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8A4"/>
    <w:rsid w:val="00822D3B"/>
    <w:rsid w:val="008237FE"/>
    <w:rsid w:val="00826634"/>
    <w:rsid w:val="00837615"/>
    <w:rsid w:val="00837D26"/>
    <w:rsid w:val="00843E1B"/>
    <w:rsid w:val="00846E13"/>
    <w:rsid w:val="00850E79"/>
    <w:rsid w:val="0085577F"/>
    <w:rsid w:val="0085795D"/>
    <w:rsid w:val="0086021A"/>
    <w:rsid w:val="00861669"/>
    <w:rsid w:val="00861A4F"/>
    <w:rsid w:val="00876807"/>
    <w:rsid w:val="00882E02"/>
    <w:rsid w:val="00883349"/>
    <w:rsid w:val="0088760B"/>
    <w:rsid w:val="00891819"/>
    <w:rsid w:val="008922DA"/>
    <w:rsid w:val="00895AB1"/>
    <w:rsid w:val="0089697E"/>
    <w:rsid w:val="00896BE9"/>
    <w:rsid w:val="008A109C"/>
    <w:rsid w:val="008A1E32"/>
    <w:rsid w:val="008A255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2464"/>
    <w:rsid w:val="008E5909"/>
    <w:rsid w:val="008F0A26"/>
    <w:rsid w:val="008F22F2"/>
    <w:rsid w:val="008F3281"/>
    <w:rsid w:val="008F4823"/>
    <w:rsid w:val="008F70C0"/>
    <w:rsid w:val="00900B83"/>
    <w:rsid w:val="0090593A"/>
    <w:rsid w:val="00911C9E"/>
    <w:rsid w:val="0091204B"/>
    <w:rsid w:val="009124CC"/>
    <w:rsid w:val="00916B82"/>
    <w:rsid w:val="009173C1"/>
    <w:rsid w:val="00920FDA"/>
    <w:rsid w:val="00923001"/>
    <w:rsid w:val="00926248"/>
    <w:rsid w:val="00931480"/>
    <w:rsid w:val="0093293C"/>
    <w:rsid w:val="009348FC"/>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C0140"/>
    <w:rsid w:val="00AC137B"/>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E1"/>
    <w:rsid w:val="00B96219"/>
    <w:rsid w:val="00B96D3C"/>
    <w:rsid w:val="00B9736F"/>
    <w:rsid w:val="00BA323A"/>
    <w:rsid w:val="00BA542C"/>
    <w:rsid w:val="00BA788C"/>
    <w:rsid w:val="00BB230C"/>
    <w:rsid w:val="00BB5589"/>
    <w:rsid w:val="00BB7F2C"/>
    <w:rsid w:val="00BC414F"/>
    <w:rsid w:val="00BE4DC8"/>
    <w:rsid w:val="00BF091F"/>
    <w:rsid w:val="00BF54DE"/>
    <w:rsid w:val="00C121F2"/>
    <w:rsid w:val="00C231D3"/>
    <w:rsid w:val="00C23425"/>
    <w:rsid w:val="00C270D2"/>
    <w:rsid w:val="00C27FD4"/>
    <w:rsid w:val="00C301E0"/>
    <w:rsid w:val="00C32594"/>
    <w:rsid w:val="00C3431B"/>
    <w:rsid w:val="00C34823"/>
    <w:rsid w:val="00C42006"/>
    <w:rsid w:val="00C42BD2"/>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4C2"/>
    <w:rsid w:val="00D4729B"/>
    <w:rsid w:val="00D54EF8"/>
    <w:rsid w:val="00D57C26"/>
    <w:rsid w:val="00D605E4"/>
    <w:rsid w:val="00D62054"/>
    <w:rsid w:val="00D80A00"/>
    <w:rsid w:val="00D82D97"/>
    <w:rsid w:val="00D838DF"/>
    <w:rsid w:val="00D859B7"/>
    <w:rsid w:val="00D92F3C"/>
    <w:rsid w:val="00D9338B"/>
    <w:rsid w:val="00D94D9B"/>
    <w:rsid w:val="00DA01FD"/>
    <w:rsid w:val="00DA0423"/>
    <w:rsid w:val="00DA1384"/>
    <w:rsid w:val="00DA5377"/>
    <w:rsid w:val="00DA7934"/>
    <w:rsid w:val="00DB2CBE"/>
    <w:rsid w:val="00DC0AC9"/>
    <w:rsid w:val="00DC6373"/>
    <w:rsid w:val="00DD5772"/>
    <w:rsid w:val="00DD728D"/>
    <w:rsid w:val="00DF6399"/>
    <w:rsid w:val="00DF671F"/>
    <w:rsid w:val="00E00B54"/>
    <w:rsid w:val="00E05ED6"/>
    <w:rsid w:val="00E105E3"/>
    <w:rsid w:val="00E10D29"/>
    <w:rsid w:val="00E10D9C"/>
    <w:rsid w:val="00E20494"/>
    <w:rsid w:val="00E214B9"/>
    <w:rsid w:val="00E31257"/>
    <w:rsid w:val="00E3325F"/>
    <w:rsid w:val="00E36867"/>
    <w:rsid w:val="00E40243"/>
    <w:rsid w:val="00E4335F"/>
    <w:rsid w:val="00E444E1"/>
    <w:rsid w:val="00E519DA"/>
    <w:rsid w:val="00E51B1C"/>
    <w:rsid w:val="00E52508"/>
    <w:rsid w:val="00E54EEB"/>
    <w:rsid w:val="00E5789F"/>
    <w:rsid w:val="00E63637"/>
    <w:rsid w:val="00E82792"/>
    <w:rsid w:val="00E924A7"/>
    <w:rsid w:val="00EA03E1"/>
    <w:rsid w:val="00EA25FB"/>
    <w:rsid w:val="00EA322F"/>
    <w:rsid w:val="00EA3C45"/>
    <w:rsid w:val="00EA5AA4"/>
    <w:rsid w:val="00EA5CCF"/>
    <w:rsid w:val="00EA712E"/>
    <w:rsid w:val="00EB0A3C"/>
    <w:rsid w:val="00EB25D3"/>
    <w:rsid w:val="00EB327D"/>
    <w:rsid w:val="00EB7E8D"/>
    <w:rsid w:val="00EC70B6"/>
    <w:rsid w:val="00ED0D89"/>
    <w:rsid w:val="00ED38CC"/>
    <w:rsid w:val="00EE0AD3"/>
    <w:rsid w:val="00EE1241"/>
    <w:rsid w:val="00EE2D98"/>
    <w:rsid w:val="00EE2FBC"/>
    <w:rsid w:val="00EE6D57"/>
    <w:rsid w:val="00F006F3"/>
    <w:rsid w:val="00F01321"/>
    <w:rsid w:val="00F04400"/>
    <w:rsid w:val="00F06EA7"/>
    <w:rsid w:val="00F07239"/>
    <w:rsid w:val="00F14F2E"/>
    <w:rsid w:val="00F1525E"/>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DBC"/>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wp-content/uploads/2025/04/Health-Safety-Policy-2025.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3" Type="http://schemas.openxmlformats.org/officeDocument/2006/relationships/customXml" Target="../customXml/item3.xm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outube.com/watch?app=desktop&amp;v=9l2r2n0rWbk"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MCDQTPEREAW2-1735039157-1337708</_dlc_DocId>
    <_dlc_DocIdUrl xmlns="fec1979a-6260-4fb4-8f09-89dccc31fbab">
      <Url>https://mcsence.sharepoint.com/sites/McSenceServicesCompanyDocuments/_layouts/15/DocIdRedir.aspx?ID=MCDQTPEREAW2-1735039157-1337708</Url>
      <Description>MCDQTPEREAW2-1735039157-1337708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A3CE15F7-492A-43E6-9FDE-9B4A596BC83D}"/>
</file>

<file path=docProps/app.xml><?xml version="1.0" encoding="utf-8"?>
<Properties xmlns="http://schemas.openxmlformats.org/officeDocument/2006/extended-properties" xmlns:vt="http://schemas.openxmlformats.org/officeDocument/2006/docPropsVTypes">
  <Template>Normal</Template>
  <TotalTime>103</TotalTime>
  <Pages>3</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150</cp:revision>
  <cp:lastPrinted>2025-02-10T13:01:00Z</cp:lastPrinted>
  <dcterms:created xsi:type="dcterms:W3CDTF">2021-04-14T10:31:00Z</dcterms:created>
  <dcterms:modified xsi:type="dcterms:W3CDTF">2025-04-21T11:48:00Z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4652ad7f-f76e-47f5-a37b-a36212bf169a</vt:lpwstr>
  </property>
</Properties>
</file>